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0A26" w:rsidRDefault="004A0A26" w:rsidP="00134F98">
      <w:pPr>
        <w:rPr>
          <w:rFonts w:ascii="黑体" w:eastAsia="黑体" w:hAnsi="黑体" w:cs="黑体"/>
          <w:b/>
          <w:bCs/>
          <w:color w:val="auto"/>
          <w:sz w:val="50"/>
          <w:szCs w:val="50"/>
        </w:rPr>
      </w:pPr>
    </w:p>
    <w:p w:rsidR="004A0A26" w:rsidRDefault="004A0A26" w:rsidP="00134F98">
      <w:pPr>
        <w:rPr>
          <w:rFonts w:ascii="黑体" w:eastAsia="黑体" w:hAnsi="黑体" w:cs="黑体"/>
          <w:b/>
          <w:bCs/>
          <w:color w:val="auto"/>
          <w:sz w:val="50"/>
          <w:szCs w:val="50"/>
        </w:rPr>
      </w:pPr>
    </w:p>
    <w:p w:rsidR="004A0A26" w:rsidRDefault="004A0A26" w:rsidP="00134F98">
      <w:pPr>
        <w:rPr>
          <w:rFonts w:ascii="黑体" w:eastAsia="黑体" w:hAnsi="黑体" w:cs="黑体"/>
          <w:b/>
          <w:bCs/>
          <w:color w:val="auto"/>
          <w:sz w:val="50"/>
          <w:szCs w:val="50"/>
        </w:rPr>
      </w:pPr>
    </w:p>
    <w:p w:rsidR="004A0A26" w:rsidRDefault="004A0A26" w:rsidP="00134F98">
      <w:pPr>
        <w:rPr>
          <w:rFonts w:ascii="黑体" w:eastAsia="黑体" w:hAnsi="黑体" w:cs="黑体"/>
          <w:b/>
          <w:bCs/>
          <w:color w:val="auto"/>
          <w:sz w:val="50"/>
          <w:szCs w:val="50"/>
        </w:rPr>
      </w:pPr>
    </w:p>
    <w:p w:rsidR="008C4E50" w:rsidRPr="008C4E50" w:rsidRDefault="008C4E50" w:rsidP="00134F98">
      <w:pPr>
        <w:rPr>
          <w:rFonts w:ascii="黑体" w:eastAsia="黑体" w:hAnsi="黑体" w:cs="黑体"/>
          <w:b/>
          <w:bCs/>
          <w:color w:val="auto"/>
          <w:sz w:val="50"/>
          <w:szCs w:val="50"/>
        </w:rPr>
      </w:pPr>
      <w:r w:rsidRPr="008C4E50">
        <w:rPr>
          <w:rFonts w:ascii="黑体" w:eastAsia="黑体" w:hAnsi="黑体" w:cs="黑体" w:hint="eastAsia"/>
          <w:b/>
          <w:bCs/>
          <w:color w:val="auto"/>
          <w:sz w:val="50"/>
          <w:szCs w:val="50"/>
        </w:rPr>
        <w:t>传承红色基因，不负青春韶华</w:t>
      </w:r>
    </w:p>
    <w:p w:rsidR="008C4E50" w:rsidRPr="008C4E50" w:rsidRDefault="008C4E50" w:rsidP="00134F98">
      <w:pPr>
        <w:rPr>
          <w:rFonts w:ascii="黑体" w:eastAsia="黑体" w:hAnsi="黑体" w:cs="黑体"/>
          <w:b/>
          <w:bCs/>
          <w:color w:val="auto"/>
          <w:sz w:val="50"/>
          <w:szCs w:val="50"/>
        </w:rPr>
      </w:pPr>
      <w:bookmarkStart w:id="0" w:name="_Toc25182"/>
      <w:bookmarkStart w:id="1" w:name="_Toc29069"/>
      <w:bookmarkStart w:id="2" w:name="_Toc7927"/>
      <w:bookmarkStart w:id="3" w:name="_Toc28492"/>
      <w:bookmarkStart w:id="4" w:name="_Toc9049"/>
      <w:bookmarkStart w:id="5" w:name="_Toc25351"/>
      <w:r w:rsidRPr="008C4E50">
        <w:rPr>
          <w:rFonts w:ascii="黑体" w:eastAsia="黑体" w:hAnsi="黑体" w:cs="黑体" w:hint="eastAsia"/>
          <w:b/>
          <w:bCs/>
          <w:color w:val="auto"/>
          <w:sz w:val="50"/>
          <w:szCs w:val="50"/>
        </w:rPr>
        <w:t>——北京大学经济学院湖南茶陵</w:t>
      </w:r>
      <w:bookmarkEnd w:id="0"/>
    </w:p>
    <w:p w:rsidR="008C4E50" w:rsidRDefault="008C4E50" w:rsidP="00134F98">
      <w:pPr>
        <w:rPr>
          <w:rFonts w:ascii="黑体" w:eastAsia="黑体" w:hAnsi="黑体" w:cs="黑体"/>
          <w:b/>
          <w:bCs/>
          <w:color w:val="auto"/>
          <w:sz w:val="50"/>
          <w:szCs w:val="50"/>
        </w:rPr>
      </w:pPr>
      <w:bookmarkStart w:id="6" w:name="_Toc19907"/>
      <w:r w:rsidRPr="008C4E50">
        <w:rPr>
          <w:rFonts w:ascii="黑体" w:eastAsia="黑体" w:hAnsi="黑体" w:cs="黑体" w:hint="eastAsia"/>
          <w:b/>
          <w:bCs/>
          <w:color w:val="auto"/>
          <w:sz w:val="50"/>
          <w:szCs w:val="50"/>
        </w:rPr>
        <w:t>实践团</w:t>
      </w:r>
      <w:bookmarkEnd w:id="1"/>
      <w:bookmarkEnd w:id="2"/>
      <w:bookmarkEnd w:id="3"/>
      <w:bookmarkEnd w:id="4"/>
      <w:bookmarkEnd w:id="5"/>
      <w:r w:rsidRPr="008C4E50">
        <w:rPr>
          <w:rFonts w:ascii="黑体" w:eastAsia="黑体" w:hAnsi="黑体" w:cs="黑体" w:hint="eastAsia"/>
          <w:b/>
          <w:bCs/>
          <w:color w:val="auto"/>
          <w:sz w:val="50"/>
          <w:szCs w:val="50"/>
        </w:rPr>
        <w:t>思政实践报告</w:t>
      </w:r>
      <w:bookmarkEnd w:id="6"/>
    </w:p>
    <w:p w:rsidR="008C4E50" w:rsidRDefault="008C4E50" w:rsidP="00134F98">
      <w:pPr>
        <w:rPr>
          <w:rFonts w:ascii="黑体" w:eastAsia="黑体" w:hAnsi="黑体" w:cs="黑体"/>
          <w:b/>
          <w:bCs/>
          <w:color w:val="auto"/>
          <w:sz w:val="50"/>
          <w:szCs w:val="50"/>
        </w:rPr>
      </w:pPr>
      <w:r>
        <w:rPr>
          <w:rFonts w:ascii="黑体" w:eastAsia="黑体" w:hAnsi="黑体" w:cs="黑体"/>
          <w:b/>
          <w:bCs/>
          <w:color w:val="auto"/>
          <w:sz w:val="50"/>
          <w:szCs w:val="50"/>
        </w:rPr>
        <w:br w:type="page"/>
      </w:r>
    </w:p>
    <w:p w:rsidR="004A0A26" w:rsidRDefault="004A0A26" w:rsidP="004A0A26">
      <w:pPr>
        <w:rPr>
          <w:rFonts w:ascii="黑体" w:eastAsia="黑体" w:hAnsi="黑体" w:cs="黑体"/>
          <w:b/>
          <w:bCs/>
          <w:color w:val="auto"/>
          <w:sz w:val="50"/>
          <w:szCs w:val="50"/>
        </w:rPr>
      </w:pPr>
    </w:p>
    <w:p w:rsidR="008C4E50" w:rsidRDefault="008C4E50" w:rsidP="008C4E50">
      <w:pPr>
        <w:rPr>
          <w:b/>
          <w:bCs/>
          <w:sz w:val="48"/>
          <w:szCs w:val="48"/>
        </w:rPr>
      </w:pPr>
      <w:r>
        <w:rPr>
          <w:rFonts w:hint="eastAsia"/>
          <w:b/>
          <w:bCs/>
          <w:sz w:val="48"/>
          <w:szCs w:val="48"/>
        </w:rPr>
        <w:t>目录</w:t>
      </w:r>
    </w:p>
    <w:p w:rsidR="008C4E50" w:rsidRDefault="008C4E50" w:rsidP="008C4E50">
      <w:pPr>
        <w:rPr>
          <w:sz w:val="48"/>
          <w:szCs w:val="48"/>
        </w:rPr>
      </w:pPr>
    </w:p>
    <w:p w:rsidR="00792E9A" w:rsidRPr="00792E9A" w:rsidRDefault="00792E9A">
      <w:pPr>
        <w:pStyle w:val="TOC1"/>
        <w:tabs>
          <w:tab w:val="right" w:leader="dot" w:pos="8296"/>
        </w:tabs>
        <w:rPr>
          <w:rFonts w:ascii="宋体" w:eastAsia="宋体" w:hAnsi="宋体"/>
          <w:b w:val="0"/>
          <w:bCs w:val="0"/>
          <w:caps w:val="0"/>
          <w:noProof/>
          <w:color w:val="auto"/>
          <w:sz w:val="24"/>
          <w:szCs w:val="24"/>
        </w:rPr>
      </w:pPr>
      <w:r w:rsidRPr="00792E9A">
        <w:rPr>
          <w:rFonts w:ascii="宋体" w:eastAsia="宋体" w:hAnsi="宋体"/>
          <w:sz w:val="24"/>
          <w:szCs w:val="24"/>
        </w:rPr>
        <w:fldChar w:fldCharType="begin"/>
      </w:r>
      <w:r w:rsidRPr="00792E9A">
        <w:rPr>
          <w:rFonts w:ascii="宋体" w:eastAsia="宋体" w:hAnsi="宋体"/>
          <w:sz w:val="24"/>
          <w:szCs w:val="24"/>
        </w:rPr>
        <w:instrText xml:space="preserve"> TOC \o "1-1" \h \z \u </w:instrText>
      </w:r>
      <w:r w:rsidRPr="00792E9A">
        <w:rPr>
          <w:rFonts w:ascii="宋体" w:eastAsia="宋体" w:hAnsi="宋体"/>
          <w:sz w:val="24"/>
          <w:szCs w:val="24"/>
        </w:rPr>
        <w:fldChar w:fldCharType="separate"/>
      </w:r>
      <w:hyperlink w:anchor="_Toc56104673" w:history="1">
        <w:r w:rsidRPr="00792E9A">
          <w:rPr>
            <w:rStyle w:val="aa"/>
            <w:rFonts w:ascii="宋体" w:eastAsia="宋体" w:hAnsi="宋体" w:cs="宋体"/>
            <w:noProof/>
            <w:sz w:val="24"/>
            <w:szCs w:val="24"/>
          </w:rPr>
          <w:t>1.茶陵县经济社会发展概况与问题</w:t>
        </w:r>
        <w:r w:rsidRPr="00792E9A">
          <w:rPr>
            <w:rFonts w:ascii="宋体" w:eastAsia="宋体" w:hAnsi="宋体"/>
            <w:noProof/>
            <w:webHidden/>
            <w:sz w:val="24"/>
            <w:szCs w:val="24"/>
          </w:rPr>
          <w:tab/>
        </w:r>
        <w:r w:rsidRPr="00792E9A">
          <w:rPr>
            <w:rFonts w:ascii="宋体" w:eastAsia="宋体" w:hAnsi="宋体"/>
            <w:noProof/>
            <w:webHidden/>
            <w:sz w:val="24"/>
            <w:szCs w:val="24"/>
          </w:rPr>
          <w:fldChar w:fldCharType="begin"/>
        </w:r>
        <w:r w:rsidRPr="00792E9A">
          <w:rPr>
            <w:rFonts w:ascii="宋体" w:eastAsia="宋体" w:hAnsi="宋体"/>
            <w:noProof/>
            <w:webHidden/>
            <w:sz w:val="24"/>
            <w:szCs w:val="24"/>
          </w:rPr>
          <w:instrText xml:space="preserve"> PAGEREF _Toc56104673 \h </w:instrText>
        </w:r>
        <w:r w:rsidRPr="00792E9A">
          <w:rPr>
            <w:rFonts w:ascii="宋体" w:eastAsia="宋体" w:hAnsi="宋体"/>
            <w:noProof/>
            <w:webHidden/>
            <w:sz w:val="24"/>
            <w:szCs w:val="24"/>
          </w:rPr>
        </w:r>
        <w:r w:rsidRPr="00792E9A">
          <w:rPr>
            <w:rFonts w:ascii="宋体" w:eastAsia="宋体" w:hAnsi="宋体"/>
            <w:noProof/>
            <w:webHidden/>
            <w:sz w:val="24"/>
            <w:szCs w:val="24"/>
          </w:rPr>
          <w:fldChar w:fldCharType="separate"/>
        </w:r>
        <w:r w:rsidR="006A4419">
          <w:rPr>
            <w:rFonts w:ascii="宋体" w:eastAsia="宋体" w:hAnsi="宋体"/>
            <w:noProof/>
            <w:webHidden/>
            <w:sz w:val="24"/>
            <w:szCs w:val="24"/>
          </w:rPr>
          <w:t>3</w:t>
        </w:r>
        <w:r w:rsidRPr="00792E9A">
          <w:rPr>
            <w:rFonts w:ascii="宋体" w:eastAsia="宋体" w:hAnsi="宋体"/>
            <w:noProof/>
            <w:webHidden/>
            <w:sz w:val="24"/>
            <w:szCs w:val="24"/>
          </w:rPr>
          <w:fldChar w:fldCharType="end"/>
        </w:r>
      </w:hyperlink>
    </w:p>
    <w:p w:rsidR="00792E9A" w:rsidRPr="00792E9A" w:rsidRDefault="00792E9A">
      <w:pPr>
        <w:pStyle w:val="TOC1"/>
        <w:tabs>
          <w:tab w:val="right" w:leader="dot" w:pos="8296"/>
        </w:tabs>
        <w:rPr>
          <w:rFonts w:ascii="宋体" w:eastAsia="宋体" w:hAnsi="宋体"/>
          <w:b w:val="0"/>
          <w:bCs w:val="0"/>
          <w:caps w:val="0"/>
          <w:noProof/>
          <w:color w:val="auto"/>
          <w:sz w:val="24"/>
          <w:szCs w:val="24"/>
        </w:rPr>
      </w:pPr>
      <w:hyperlink w:anchor="_Toc56104674" w:history="1">
        <w:r w:rsidRPr="00792E9A">
          <w:rPr>
            <w:rStyle w:val="aa"/>
            <w:rFonts w:ascii="宋体" w:eastAsia="宋体" w:hAnsi="宋体" w:cs="宋体"/>
            <w:noProof/>
            <w:sz w:val="24"/>
            <w:szCs w:val="24"/>
          </w:rPr>
          <w:t>2.茶陵县经济社会发展问题解决建议</w:t>
        </w:r>
        <w:r w:rsidRPr="00792E9A">
          <w:rPr>
            <w:rFonts w:ascii="宋体" w:eastAsia="宋体" w:hAnsi="宋体"/>
            <w:noProof/>
            <w:webHidden/>
            <w:sz w:val="24"/>
            <w:szCs w:val="24"/>
          </w:rPr>
          <w:tab/>
        </w:r>
        <w:r w:rsidRPr="00792E9A">
          <w:rPr>
            <w:rFonts w:ascii="宋体" w:eastAsia="宋体" w:hAnsi="宋体"/>
            <w:noProof/>
            <w:webHidden/>
            <w:sz w:val="24"/>
            <w:szCs w:val="24"/>
          </w:rPr>
          <w:fldChar w:fldCharType="begin"/>
        </w:r>
        <w:r w:rsidRPr="00792E9A">
          <w:rPr>
            <w:rFonts w:ascii="宋体" w:eastAsia="宋体" w:hAnsi="宋体"/>
            <w:noProof/>
            <w:webHidden/>
            <w:sz w:val="24"/>
            <w:szCs w:val="24"/>
          </w:rPr>
          <w:instrText xml:space="preserve"> PAGEREF _Toc56104674 \h </w:instrText>
        </w:r>
        <w:r w:rsidRPr="00792E9A">
          <w:rPr>
            <w:rFonts w:ascii="宋体" w:eastAsia="宋体" w:hAnsi="宋体"/>
            <w:noProof/>
            <w:webHidden/>
            <w:sz w:val="24"/>
            <w:szCs w:val="24"/>
          </w:rPr>
        </w:r>
        <w:r w:rsidRPr="00792E9A">
          <w:rPr>
            <w:rFonts w:ascii="宋体" w:eastAsia="宋体" w:hAnsi="宋体"/>
            <w:noProof/>
            <w:webHidden/>
            <w:sz w:val="24"/>
            <w:szCs w:val="24"/>
          </w:rPr>
          <w:fldChar w:fldCharType="separate"/>
        </w:r>
        <w:r w:rsidR="006A4419">
          <w:rPr>
            <w:rFonts w:ascii="宋体" w:eastAsia="宋体" w:hAnsi="宋体"/>
            <w:noProof/>
            <w:webHidden/>
            <w:sz w:val="24"/>
            <w:szCs w:val="24"/>
          </w:rPr>
          <w:t>5</w:t>
        </w:r>
        <w:r w:rsidRPr="00792E9A">
          <w:rPr>
            <w:rFonts w:ascii="宋体" w:eastAsia="宋体" w:hAnsi="宋体"/>
            <w:noProof/>
            <w:webHidden/>
            <w:sz w:val="24"/>
            <w:szCs w:val="24"/>
          </w:rPr>
          <w:fldChar w:fldCharType="end"/>
        </w:r>
      </w:hyperlink>
    </w:p>
    <w:p w:rsidR="00792E9A" w:rsidRPr="00792E9A" w:rsidRDefault="00792E9A">
      <w:pPr>
        <w:pStyle w:val="TOC1"/>
        <w:tabs>
          <w:tab w:val="right" w:leader="dot" w:pos="8296"/>
        </w:tabs>
        <w:rPr>
          <w:rFonts w:ascii="宋体" w:eastAsia="宋体" w:hAnsi="宋体"/>
          <w:b w:val="0"/>
          <w:bCs w:val="0"/>
          <w:caps w:val="0"/>
          <w:noProof/>
          <w:color w:val="auto"/>
          <w:sz w:val="24"/>
          <w:szCs w:val="24"/>
        </w:rPr>
      </w:pPr>
      <w:hyperlink w:anchor="_Toc56104675" w:history="1">
        <w:r w:rsidRPr="00792E9A">
          <w:rPr>
            <w:rStyle w:val="aa"/>
            <w:rFonts w:ascii="宋体" w:eastAsia="宋体" w:hAnsi="宋体" w:cs="宋体"/>
            <w:noProof/>
            <w:sz w:val="24"/>
            <w:szCs w:val="24"/>
          </w:rPr>
          <w:t>3.总结</w:t>
        </w:r>
        <w:r w:rsidRPr="00792E9A">
          <w:rPr>
            <w:rFonts w:ascii="宋体" w:eastAsia="宋体" w:hAnsi="宋体"/>
            <w:noProof/>
            <w:webHidden/>
            <w:sz w:val="24"/>
            <w:szCs w:val="24"/>
          </w:rPr>
          <w:tab/>
        </w:r>
        <w:r w:rsidRPr="00792E9A">
          <w:rPr>
            <w:rFonts w:ascii="宋体" w:eastAsia="宋体" w:hAnsi="宋体"/>
            <w:noProof/>
            <w:webHidden/>
            <w:sz w:val="24"/>
            <w:szCs w:val="24"/>
          </w:rPr>
          <w:fldChar w:fldCharType="begin"/>
        </w:r>
        <w:r w:rsidRPr="00792E9A">
          <w:rPr>
            <w:rFonts w:ascii="宋体" w:eastAsia="宋体" w:hAnsi="宋体"/>
            <w:noProof/>
            <w:webHidden/>
            <w:sz w:val="24"/>
            <w:szCs w:val="24"/>
          </w:rPr>
          <w:instrText xml:space="preserve"> PAGEREF _Toc56104675 \h </w:instrText>
        </w:r>
        <w:r w:rsidRPr="00792E9A">
          <w:rPr>
            <w:rFonts w:ascii="宋体" w:eastAsia="宋体" w:hAnsi="宋体"/>
            <w:noProof/>
            <w:webHidden/>
            <w:sz w:val="24"/>
            <w:szCs w:val="24"/>
          </w:rPr>
        </w:r>
        <w:r w:rsidRPr="00792E9A">
          <w:rPr>
            <w:rFonts w:ascii="宋体" w:eastAsia="宋体" w:hAnsi="宋体"/>
            <w:noProof/>
            <w:webHidden/>
            <w:sz w:val="24"/>
            <w:szCs w:val="24"/>
          </w:rPr>
          <w:fldChar w:fldCharType="separate"/>
        </w:r>
        <w:r w:rsidR="006A4419">
          <w:rPr>
            <w:rFonts w:ascii="宋体" w:eastAsia="宋体" w:hAnsi="宋体"/>
            <w:noProof/>
            <w:webHidden/>
            <w:sz w:val="24"/>
            <w:szCs w:val="24"/>
          </w:rPr>
          <w:t>8</w:t>
        </w:r>
        <w:r w:rsidRPr="00792E9A">
          <w:rPr>
            <w:rFonts w:ascii="宋体" w:eastAsia="宋体" w:hAnsi="宋体"/>
            <w:noProof/>
            <w:webHidden/>
            <w:sz w:val="24"/>
            <w:szCs w:val="24"/>
          </w:rPr>
          <w:fldChar w:fldCharType="end"/>
        </w:r>
      </w:hyperlink>
    </w:p>
    <w:p w:rsidR="003A78C8" w:rsidRDefault="00792E9A" w:rsidP="00134F98">
      <w:pPr>
        <w:jc w:val="both"/>
      </w:pPr>
      <w:r w:rsidRPr="00792E9A">
        <w:rPr>
          <w:rFonts w:ascii="宋体" w:eastAsia="宋体" w:hAnsi="宋体"/>
        </w:rPr>
        <w:fldChar w:fldCharType="end"/>
      </w:r>
    </w:p>
    <w:p w:rsidR="003A78C8" w:rsidRDefault="003A78C8">
      <w:r>
        <w:br w:type="page"/>
      </w:r>
    </w:p>
    <w:p w:rsidR="008C4E50" w:rsidRDefault="008C4E50" w:rsidP="00134F98">
      <w:pPr>
        <w:jc w:val="both"/>
        <w:rPr>
          <w:rFonts w:hint="eastAsia"/>
        </w:rPr>
      </w:pPr>
    </w:p>
    <w:p w:rsidR="008C4E50" w:rsidRPr="008C4E50" w:rsidRDefault="008C4E50" w:rsidP="008C4E50">
      <w:pPr>
        <w:widowControl w:val="0"/>
        <w:tabs>
          <w:tab w:val="right" w:leader="dot" w:pos="8306"/>
        </w:tabs>
        <w:jc w:val="both"/>
        <w:outlineLvl w:val="0"/>
        <w:rPr>
          <w:rFonts w:ascii="宋体" w:eastAsia="宋体" w:hAnsi="宋体" w:cs="宋体"/>
          <w:b/>
          <w:color w:val="auto"/>
          <w:sz w:val="32"/>
          <w:szCs w:val="32"/>
        </w:rPr>
      </w:pPr>
      <w:bookmarkStart w:id="7" w:name="_Toc610"/>
      <w:bookmarkStart w:id="8" w:name="_Toc7082"/>
      <w:bookmarkStart w:id="9" w:name="_Toc27484"/>
      <w:bookmarkStart w:id="10" w:name="_Toc56104673"/>
      <w:r w:rsidRPr="008C4E50">
        <w:rPr>
          <w:rFonts w:ascii="宋体" w:eastAsia="宋体" w:hAnsi="宋体" w:cs="宋体" w:hint="eastAsia"/>
          <w:b/>
          <w:color w:val="auto"/>
          <w:sz w:val="32"/>
          <w:szCs w:val="32"/>
        </w:rPr>
        <w:t>1.茶陵县经济社会发展概况与问题</w:t>
      </w:r>
      <w:bookmarkEnd w:id="7"/>
      <w:bookmarkEnd w:id="8"/>
      <w:bookmarkEnd w:id="9"/>
      <w:bookmarkEnd w:id="10"/>
    </w:p>
    <w:p w:rsidR="008C4E50" w:rsidRPr="008C4E50" w:rsidRDefault="008C4E50" w:rsidP="008C4E50">
      <w:pPr>
        <w:keepNext/>
        <w:keepLines/>
        <w:widowControl w:val="0"/>
        <w:jc w:val="both"/>
        <w:outlineLvl w:val="1"/>
        <w:rPr>
          <w:rFonts w:eastAsia="宋体" w:cs="Times New Roman"/>
          <w:b/>
          <w:bCs/>
          <w:color w:val="auto"/>
        </w:rPr>
      </w:pPr>
      <w:bookmarkStart w:id="11" w:name="_Toc19625"/>
      <w:bookmarkStart w:id="12" w:name="_Toc12060"/>
      <w:bookmarkStart w:id="13" w:name="_Toc27828"/>
      <w:r w:rsidRPr="008C4E50">
        <w:rPr>
          <w:rFonts w:eastAsia="宋体" w:cs="Times New Roman" w:hint="eastAsia"/>
          <w:b/>
          <w:bCs/>
          <w:color w:val="auto"/>
        </w:rPr>
        <w:t xml:space="preserve">1.1 </w:t>
      </w:r>
      <w:r w:rsidRPr="008C4E50">
        <w:rPr>
          <w:rFonts w:eastAsia="宋体" w:cs="Times New Roman" w:hint="eastAsia"/>
          <w:b/>
          <w:bCs/>
          <w:color w:val="auto"/>
        </w:rPr>
        <w:t>第一产业概况和所遇到的问题</w:t>
      </w:r>
      <w:bookmarkEnd w:id="11"/>
      <w:bookmarkEnd w:id="12"/>
      <w:bookmarkEnd w:id="13"/>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第一产业主要分为农林牧渔，茶陵县地处喀斯特地貌，丘陵山区较多，渔业并不成熟，难以形成完整产业，不过茶陵县农用地面积较大，</w:t>
      </w:r>
      <w:r w:rsidRPr="008C4E50">
        <w:rPr>
          <w:rFonts w:eastAsia="宋体" w:cs="Times New Roman" w:hint="eastAsia"/>
          <w:color w:val="auto"/>
        </w:rPr>
        <w:t>“</w:t>
      </w:r>
      <w:r w:rsidRPr="008C4E50">
        <w:rPr>
          <w:rFonts w:eastAsia="宋体" w:cs="Times New Roman"/>
          <w:color w:val="auto"/>
        </w:rPr>
        <w:t>2014</w:t>
      </w:r>
      <w:r w:rsidRPr="008C4E50">
        <w:rPr>
          <w:rFonts w:eastAsia="宋体" w:cs="Times New Roman"/>
          <w:color w:val="auto"/>
        </w:rPr>
        <w:t>年末茶陵县土地总面积为</w:t>
      </w:r>
      <w:r w:rsidRPr="008C4E50">
        <w:rPr>
          <w:rFonts w:eastAsia="宋体" w:cs="Times New Roman"/>
          <w:color w:val="auto"/>
        </w:rPr>
        <w:t>249625.60</w:t>
      </w:r>
      <w:r w:rsidRPr="008C4E50">
        <w:rPr>
          <w:rFonts w:eastAsia="宋体" w:cs="Times New Roman"/>
          <w:color w:val="auto"/>
        </w:rPr>
        <w:t>公顷</w:t>
      </w:r>
      <w:r w:rsidRPr="008C4E50">
        <w:rPr>
          <w:rFonts w:eastAsia="宋体" w:cs="Times New Roman" w:hint="eastAsia"/>
          <w:color w:val="auto"/>
        </w:rPr>
        <w:t>”</w:t>
      </w:r>
      <w:r w:rsidRPr="008C4E50">
        <w:rPr>
          <w:rFonts w:eastAsia="宋体" w:cs="Times New Roman"/>
          <w:color w:val="auto"/>
        </w:rPr>
        <w:t>，</w:t>
      </w:r>
      <w:r w:rsidRPr="008C4E50">
        <w:rPr>
          <w:rFonts w:eastAsia="宋体" w:cs="Times New Roman" w:hint="eastAsia"/>
          <w:color w:val="auto"/>
        </w:rPr>
        <w:t>“</w:t>
      </w:r>
      <w:r w:rsidRPr="008C4E50">
        <w:rPr>
          <w:rFonts w:eastAsia="宋体" w:cs="Times New Roman"/>
          <w:color w:val="auto"/>
        </w:rPr>
        <w:t>农用地面积</w:t>
      </w:r>
      <w:r w:rsidRPr="008C4E50">
        <w:rPr>
          <w:rFonts w:eastAsia="宋体" w:cs="Times New Roman"/>
          <w:color w:val="auto"/>
        </w:rPr>
        <w:t>221876.21</w:t>
      </w:r>
      <w:r w:rsidRPr="008C4E50">
        <w:rPr>
          <w:rFonts w:eastAsia="宋体" w:cs="Times New Roman"/>
          <w:color w:val="auto"/>
        </w:rPr>
        <w:t>公顷，占土地总面积的</w:t>
      </w:r>
      <w:r w:rsidRPr="008C4E50">
        <w:rPr>
          <w:rFonts w:eastAsia="宋体" w:cs="Times New Roman"/>
          <w:color w:val="auto"/>
        </w:rPr>
        <w:t>88.88%</w:t>
      </w:r>
      <w:r w:rsidRPr="008C4E50">
        <w:rPr>
          <w:rFonts w:eastAsia="宋体" w:cs="Times New Roman"/>
          <w:color w:val="auto"/>
        </w:rPr>
        <w:t>，其中耕地面积</w:t>
      </w:r>
      <w:r w:rsidRPr="008C4E50">
        <w:rPr>
          <w:rFonts w:eastAsia="宋体" w:cs="Times New Roman"/>
          <w:color w:val="auto"/>
        </w:rPr>
        <w:t>39844.18</w:t>
      </w:r>
      <w:r w:rsidRPr="008C4E50">
        <w:rPr>
          <w:rFonts w:eastAsia="宋体" w:cs="Times New Roman"/>
          <w:color w:val="auto"/>
        </w:rPr>
        <w:t>公顷，占</w:t>
      </w:r>
      <w:r w:rsidRPr="008C4E50">
        <w:rPr>
          <w:rFonts w:eastAsia="宋体" w:cs="Times New Roman"/>
          <w:color w:val="auto"/>
        </w:rPr>
        <w:t>15.96%</w:t>
      </w:r>
      <w:r w:rsidRPr="008C4E50">
        <w:rPr>
          <w:rFonts w:eastAsia="宋体" w:cs="Times New Roman"/>
          <w:color w:val="auto"/>
        </w:rPr>
        <w:t>；园地面积</w:t>
      </w:r>
      <w:r w:rsidRPr="008C4E50">
        <w:rPr>
          <w:rFonts w:eastAsia="宋体" w:cs="Times New Roman"/>
          <w:color w:val="auto"/>
        </w:rPr>
        <w:t>2816.15</w:t>
      </w:r>
      <w:r w:rsidRPr="008C4E50">
        <w:rPr>
          <w:rFonts w:eastAsia="宋体" w:cs="Times New Roman"/>
          <w:color w:val="auto"/>
        </w:rPr>
        <w:t>公顷，占</w:t>
      </w:r>
      <w:r w:rsidRPr="008C4E50">
        <w:rPr>
          <w:rFonts w:eastAsia="宋体" w:cs="Times New Roman"/>
          <w:color w:val="auto"/>
        </w:rPr>
        <w:t>1.13%</w:t>
      </w:r>
      <w:r w:rsidRPr="008C4E50">
        <w:rPr>
          <w:rFonts w:eastAsia="宋体" w:cs="Times New Roman"/>
          <w:color w:val="auto"/>
        </w:rPr>
        <w:t>；林地面积</w:t>
      </w:r>
      <w:r w:rsidRPr="008C4E50">
        <w:rPr>
          <w:rFonts w:eastAsia="宋体" w:cs="Times New Roman"/>
          <w:color w:val="auto"/>
        </w:rPr>
        <w:t>167623.18</w:t>
      </w:r>
      <w:r w:rsidRPr="008C4E50">
        <w:rPr>
          <w:rFonts w:eastAsia="宋体" w:cs="Times New Roman"/>
          <w:color w:val="auto"/>
        </w:rPr>
        <w:t>公顷，占</w:t>
      </w:r>
      <w:r w:rsidRPr="008C4E50">
        <w:rPr>
          <w:rFonts w:eastAsia="宋体" w:cs="Times New Roman"/>
          <w:color w:val="auto"/>
        </w:rPr>
        <w:t>67.15%</w:t>
      </w:r>
      <w:r w:rsidRPr="008C4E50">
        <w:rPr>
          <w:rFonts w:eastAsia="宋体" w:cs="Times New Roman"/>
          <w:color w:val="auto"/>
        </w:rPr>
        <w:t>；其他农用地面积</w:t>
      </w:r>
      <w:r w:rsidRPr="008C4E50">
        <w:rPr>
          <w:rFonts w:eastAsia="宋体" w:cs="Times New Roman"/>
          <w:color w:val="auto"/>
        </w:rPr>
        <w:t>11592.70</w:t>
      </w:r>
      <w:r w:rsidRPr="008C4E50">
        <w:rPr>
          <w:rFonts w:eastAsia="宋体" w:cs="Times New Roman"/>
          <w:color w:val="auto"/>
        </w:rPr>
        <w:t>公顷，占</w:t>
      </w:r>
      <w:r w:rsidRPr="008C4E50">
        <w:rPr>
          <w:rFonts w:eastAsia="宋体" w:cs="Times New Roman"/>
          <w:color w:val="auto"/>
        </w:rPr>
        <w:t>4.64%</w:t>
      </w:r>
      <w:r w:rsidRPr="008C4E50">
        <w:rPr>
          <w:rFonts w:eastAsia="宋体" w:cs="Times New Roman"/>
          <w:color w:val="auto"/>
        </w:rPr>
        <w:t>。</w:t>
      </w:r>
      <w:r w:rsidRPr="008C4E50">
        <w:rPr>
          <w:rFonts w:eastAsia="宋体" w:cs="Times New Roman"/>
          <w:color w:val="auto"/>
        </w:rPr>
        <w:t>”</w:t>
      </w:r>
      <w:r w:rsidRPr="008C4E50">
        <w:rPr>
          <w:rFonts w:eastAsia="宋体" w:cs="Times New Roman"/>
          <w:color w:val="auto"/>
          <w:vertAlign w:val="superscript"/>
        </w:rPr>
        <w:footnoteReference w:id="1"/>
      </w:r>
      <w:r w:rsidRPr="008C4E50">
        <w:rPr>
          <w:rFonts w:eastAsia="宋体" w:cs="Times New Roman"/>
          <w:color w:val="auto"/>
        </w:rPr>
        <w:t>所以茶陵适合发展粮食种植业、林业、经济作物种植业以及畜牧业等。</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实地考察发现茶陵县现有的一产特色产业有粮食产业（如水稻等），林业（如万樟园林），茶叶产业（如茶祖印象）等。</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这三者有个共同的问题就是规模，这又牵扯到背后的土地流转问题。首先是粮食产业，茶陵仍然有相当一部分的粮食耕地比较破碎，难以形成规模，很难被企业承包。我们看到表中种植面积增加，实际上有很大一部分是耕地开垦，而一些被丘陵分割的小块耕地则很难利用。</w:t>
      </w:r>
    </w:p>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widowControl w:val="0"/>
        <w:ind w:firstLine="480"/>
        <w:rPr>
          <w:rFonts w:eastAsia="宋体" w:cs="Times New Roman"/>
          <w:color w:val="auto"/>
        </w:rPr>
      </w:pPr>
      <w:r w:rsidRPr="008C4E50">
        <w:rPr>
          <w:rFonts w:eastAsia="宋体" w:cs="Times New Roman" w:hint="eastAsia"/>
          <w:color w:val="auto"/>
        </w:rPr>
        <w:t>茶陵优质稻生产相关概况</w:t>
      </w:r>
    </w:p>
    <w:tbl>
      <w:tblPr>
        <w:tblStyle w:val="a5"/>
        <w:tblW w:w="8274" w:type="dxa"/>
        <w:tblLayout w:type="fixed"/>
        <w:tblLook w:val="04A0" w:firstRow="1" w:lastRow="0" w:firstColumn="1" w:lastColumn="0" w:noHBand="0" w:noVBand="1"/>
      </w:tblPr>
      <w:tblGrid>
        <w:gridCol w:w="706"/>
        <w:gridCol w:w="970"/>
        <w:gridCol w:w="1450"/>
        <w:gridCol w:w="1310"/>
        <w:gridCol w:w="1080"/>
        <w:gridCol w:w="933"/>
        <w:gridCol w:w="1825"/>
      </w:tblGrid>
      <w:tr w:rsidR="008C4E50" w:rsidRPr="008C4E50" w:rsidTr="007875BB">
        <w:trPr>
          <w:trHeight w:val="401"/>
        </w:trPr>
        <w:tc>
          <w:tcPr>
            <w:tcW w:w="706" w:type="dxa"/>
            <w:vMerge w:val="restart"/>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序号</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品种</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ind w:firstLineChars="100" w:firstLine="200"/>
            </w:pPr>
            <w:r w:rsidRPr="008C4E50">
              <w:t>种植面积（万亩）</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净增</w:t>
            </w:r>
          </w:p>
          <w:p w:rsidR="008C4E50" w:rsidRPr="008C4E50" w:rsidRDefault="008C4E50" w:rsidP="008C4E50">
            <w:pPr>
              <w:adjustRightInd w:val="0"/>
              <w:snapToGrid w:val="0"/>
            </w:pPr>
            <w:r w:rsidRPr="008C4E50">
              <w:rPr>
                <w:rFonts w:hint="eastAsia"/>
              </w:rPr>
              <w:t>（</w:t>
            </w:r>
            <w:r w:rsidRPr="008C4E50">
              <w:t>万亩）</w:t>
            </w:r>
          </w:p>
        </w:tc>
        <w:tc>
          <w:tcPr>
            <w:tcW w:w="933" w:type="dxa"/>
            <w:vMerge w:val="restart"/>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年均增长率（</w:t>
            </w:r>
            <w:r w:rsidRPr="008C4E50">
              <w:t>%</w:t>
            </w:r>
            <w:r w:rsidRPr="008C4E50">
              <w:t>）</w:t>
            </w:r>
          </w:p>
        </w:tc>
        <w:tc>
          <w:tcPr>
            <w:tcW w:w="1825" w:type="dxa"/>
            <w:vMerge w:val="restart"/>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带动能力强的规模经营主体</w:t>
            </w:r>
          </w:p>
        </w:tc>
      </w:tr>
      <w:tr w:rsidR="008C4E50" w:rsidRPr="008C4E50" w:rsidTr="007875BB">
        <w:trPr>
          <w:trHeight w:val="401"/>
        </w:trPr>
        <w:tc>
          <w:tcPr>
            <w:tcW w:w="706" w:type="dxa"/>
            <w:vMerge/>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ind w:firstLine="420"/>
            </w:pPr>
          </w:p>
        </w:tc>
        <w:tc>
          <w:tcPr>
            <w:tcW w:w="970" w:type="dxa"/>
            <w:vMerge/>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ind w:firstLine="420"/>
            </w:pPr>
          </w:p>
        </w:tc>
        <w:tc>
          <w:tcPr>
            <w:tcW w:w="145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十一五期末</w:t>
            </w:r>
          </w:p>
        </w:tc>
        <w:tc>
          <w:tcPr>
            <w:tcW w:w="131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十二五期末</w:t>
            </w:r>
          </w:p>
        </w:tc>
        <w:tc>
          <w:tcPr>
            <w:tcW w:w="1080" w:type="dxa"/>
            <w:vMerge/>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ind w:firstLine="420"/>
            </w:pPr>
          </w:p>
        </w:tc>
        <w:tc>
          <w:tcPr>
            <w:tcW w:w="933" w:type="dxa"/>
            <w:vMerge/>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ind w:firstLine="420"/>
            </w:pPr>
          </w:p>
        </w:tc>
        <w:tc>
          <w:tcPr>
            <w:tcW w:w="1825" w:type="dxa"/>
            <w:vMerge/>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ind w:firstLine="420"/>
            </w:pPr>
          </w:p>
        </w:tc>
      </w:tr>
      <w:tr w:rsidR="008C4E50" w:rsidRPr="008C4E50" w:rsidTr="007875BB">
        <w:trPr>
          <w:trHeight w:val="401"/>
        </w:trPr>
        <w:tc>
          <w:tcPr>
            <w:tcW w:w="706"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1</w:t>
            </w:r>
          </w:p>
        </w:tc>
        <w:tc>
          <w:tcPr>
            <w:tcW w:w="97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优质稻</w:t>
            </w:r>
          </w:p>
        </w:tc>
        <w:tc>
          <w:tcPr>
            <w:tcW w:w="145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ind w:firstLine="480"/>
            </w:pPr>
            <w:r w:rsidRPr="008C4E50">
              <w:t>12</w:t>
            </w:r>
          </w:p>
        </w:tc>
        <w:tc>
          <w:tcPr>
            <w:tcW w:w="131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ind w:firstLine="480"/>
            </w:pPr>
            <w:r w:rsidRPr="008C4E50">
              <w:t>20</w:t>
            </w:r>
          </w:p>
        </w:tc>
        <w:tc>
          <w:tcPr>
            <w:tcW w:w="1080"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ind w:firstLineChars="100" w:firstLine="200"/>
            </w:pPr>
            <w:r w:rsidRPr="008C4E50">
              <w:t>8</w:t>
            </w:r>
          </w:p>
        </w:tc>
        <w:tc>
          <w:tcPr>
            <w:tcW w:w="933"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13.33</w:t>
            </w:r>
          </w:p>
        </w:tc>
        <w:tc>
          <w:tcPr>
            <w:tcW w:w="1825" w:type="dxa"/>
            <w:tcBorders>
              <w:top w:val="single" w:sz="4" w:space="0" w:color="auto"/>
              <w:left w:val="single" w:sz="4" w:space="0" w:color="auto"/>
              <w:bottom w:val="single" w:sz="4" w:space="0" w:color="auto"/>
              <w:right w:val="single" w:sz="4" w:space="0" w:color="auto"/>
            </w:tcBorders>
            <w:vAlign w:val="center"/>
          </w:tcPr>
          <w:p w:rsidR="008C4E50" w:rsidRPr="008C4E50" w:rsidRDefault="008C4E50" w:rsidP="008C4E50">
            <w:pPr>
              <w:adjustRightInd w:val="0"/>
              <w:snapToGrid w:val="0"/>
            </w:pPr>
            <w:r w:rsidRPr="008C4E50">
              <w:t>清河粮油、兴博食品</w:t>
            </w:r>
          </w:p>
        </w:tc>
      </w:tr>
    </w:tbl>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林业主要参观的万樟园林集团有限公司也反映在和政府合作的过程中土地流转是一大困难。与农户沟通、补偿金等都要耗费很大精力。</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茶叶产业则更为明显，茶祖印象的生产基地在丘陵区，土地规模也不够大，而且当地也存在一些茶叶加工生产的合作社，规模小效率也不够高。</w:t>
      </w:r>
    </w:p>
    <w:p w:rsidR="008C4E50" w:rsidRPr="008C4E50" w:rsidRDefault="008C4E50" w:rsidP="008C4E50">
      <w:pPr>
        <w:widowControl w:val="0"/>
        <w:ind w:firstLine="480"/>
        <w:jc w:val="both"/>
        <w:rPr>
          <w:rFonts w:eastAsia="宋体" w:cs="Times New Roman"/>
          <w:color w:val="auto"/>
          <w:sz w:val="21"/>
          <w:szCs w:val="22"/>
        </w:rPr>
      </w:pPr>
    </w:p>
    <w:p w:rsidR="008C4E50" w:rsidRPr="008C4E50" w:rsidRDefault="008C4E50" w:rsidP="008C4E50">
      <w:pPr>
        <w:keepNext/>
        <w:keepLines/>
        <w:widowControl w:val="0"/>
        <w:jc w:val="both"/>
        <w:outlineLvl w:val="1"/>
        <w:rPr>
          <w:rFonts w:eastAsia="宋体" w:cs="Times New Roman"/>
          <w:b/>
          <w:bCs/>
          <w:color w:val="auto"/>
        </w:rPr>
      </w:pPr>
      <w:bookmarkStart w:id="14" w:name="_Toc14977"/>
      <w:bookmarkStart w:id="15" w:name="_Toc3584"/>
      <w:bookmarkStart w:id="16" w:name="_Toc11815"/>
      <w:r w:rsidRPr="008C4E50">
        <w:rPr>
          <w:rFonts w:eastAsia="宋体" w:cs="Times New Roman" w:hint="eastAsia"/>
          <w:b/>
          <w:bCs/>
          <w:color w:val="auto"/>
        </w:rPr>
        <w:t xml:space="preserve">1.2 </w:t>
      </w:r>
      <w:r w:rsidRPr="008C4E50">
        <w:rPr>
          <w:rFonts w:eastAsia="宋体" w:cs="Times New Roman" w:hint="eastAsia"/>
          <w:b/>
          <w:bCs/>
          <w:color w:val="auto"/>
        </w:rPr>
        <w:t>茶陵县农产品加工业的发展存在的问题</w:t>
      </w:r>
      <w:bookmarkEnd w:id="14"/>
      <w:bookmarkEnd w:id="15"/>
      <w:bookmarkEnd w:id="16"/>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陵县的第一产业和第二产业占比大，将农业和工业结合起来，有条件发展农产品加工企业。但茶陵县的农产品加工业尚处于初始和起步阶段，整体水平不高，主要存在企业规模较小、产品类型单一、产品附加值较少、资金紧缺等问题。</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首先，农产品的来源即农产品的种植用地利用不高，因茶陵地形原因，一些分散的小块耕地难以形成规模化经济，产业化程度较低，且种植的技术含量较低。如我们参访的</w:t>
      </w:r>
      <w:r w:rsidRPr="008C4E50">
        <w:rPr>
          <w:rFonts w:eastAsia="宋体" w:cs="Times New Roman"/>
          <w:color w:val="auto"/>
        </w:rPr>
        <w:t>“</w:t>
      </w:r>
      <w:r w:rsidRPr="008C4E50">
        <w:rPr>
          <w:rFonts w:eastAsia="宋体" w:cs="Times New Roman"/>
          <w:color w:val="auto"/>
        </w:rPr>
        <w:t>康成庄园</w:t>
      </w:r>
      <w:r w:rsidRPr="008C4E50">
        <w:rPr>
          <w:rFonts w:eastAsia="宋体" w:cs="Times New Roman"/>
          <w:color w:val="auto"/>
        </w:rPr>
        <w:t>”</w:t>
      </w:r>
      <w:r w:rsidRPr="008C4E50">
        <w:rPr>
          <w:rFonts w:eastAsia="宋体" w:cs="Times New Roman"/>
          <w:color w:val="auto"/>
        </w:rPr>
        <w:t>，其茶田在一些山丘上已成规模，但仍能看到有未开垦的荒地。此外，茶陵的特色农业也不明显，如生姜、大蒜、白芷等优势产品的规模普遍较小，没有形成有竞争优势的产业。</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其次，茶陵的加工业中主体仍以中小企业居多，产品在市场上的竞争力弱，没有形成有影响力的品牌和特色。很多中小企业里资源型、简单加工型等传统产业比重较大，这使茶陵所销售的农产品基本上是初级产品，难以形成一条更长、更完整的农产品加工产业链。除此之外，中小企业里环境污染、高能耗等带来的</w:t>
      </w:r>
      <w:r w:rsidRPr="008C4E50">
        <w:rPr>
          <w:rFonts w:eastAsia="宋体" w:cs="Times New Roman"/>
          <w:color w:val="auto"/>
        </w:rPr>
        <w:lastRenderedPageBreak/>
        <w:t>环境问题也影响工业的可持续发展。许多企业对农产品宣传力度也不足，如利用新媒体进行信息化的广告投放等，这使得茶陵缺少龙头企业和名牌产品，同时基于茶陵地形的交通运输限制，也难以使茶陵的招商引资、对外开放实践具有吸引力。</w:t>
      </w:r>
    </w:p>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keepNext/>
        <w:keepLines/>
        <w:widowControl w:val="0"/>
        <w:jc w:val="both"/>
        <w:outlineLvl w:val="1"/>
        <w:rPr>
          <w:rFonts w:eastAsia="宋体" w:cs="Times New Roman"/>
          <w:b/>
          <w:bCs/>
          <w:color w:val="auto"/>
        </w:rPr>
      </w:pPr>
      <w:bookmarkStart w:id="17" w:name="_Toc28684"/>
      <w:bookmarkStart w:id="18" w:name="_Toc7791"/>
      <w:bookmarkStart w:id="19" w:name="_Toc6511"/>
      <w:r w:rsidRPr="008C4E50">
        <w:rPr>
          <w:rFonts w:eastAsia="宋体" w:cs="Times New Roman" w:hint="eastAsia"/>
          <w:b/>
          <w:bCs/>
          <w:color w:val="auto"/>
        </w:rPr>
        <w:t xml:space="preserve">1.3 </w:t>
      </w:r>
      <w:r w:rsidRPr="008C4E50">
        <w:rPr>
          <w:rFonts w:eastAsia="宋体" w:cs="Times New Roman" w:hint="eastAsia"/>
          <w:b/>
          <w:bCs/>
          <w:color w:val="auto"/>
        </w:rPr>
        <w:t>第二产业发展规模效益不高、品牌效益不强的问题</w:t>
      </w:r>
      <w:bookmarkEnd w:id="17"/>
      <w:bookmarkEnd w:id="18"/>
      <w:bookmarkEnd w:id="19"/>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茶陵县产业发展面临的一大困境即规模效益不高。其一，全县规模以上工业数量较少。截至</w:t>
      </w:r>
      <w:r w:rsidRPr="008C4E50">
        <w:rPr>
          <w:rFonts w:eastAsia="宋体" w:cs="Times New Roman"/>
          <w:color w:val="auto"/>
        </w:rPr>
        <w:t>2019</w:t>
      </w:r>
      <w:r w:rsidRPr="008C4E50">
        <w:rPr>
          <w:rFonts w:eastAsia="宋体" w:cs="Times New Roman"/>
          <w:color w:val="auto"/>
        </w:rPr>
        <w:t>年</w:t>
      </w:r>
      <w:r w:rsidRPr="008C4E50">
        <w:rPr>
          <w:rFonts w:eastAsia="宋体" w:cs="Times New Roman"/>
          <w:color w:val="auto"/>
        </w:rPr>
        <w:t>9</w:t>
      </w:r>
      <w:r w:rsidRPr="008C4E50">
        <w:rPr>
          <w:rFonts w:eastAsia="宋体" w:cs="Times New Roman"/>
          <w:color w:val="auto"/>
        </w:rPr>
        <w:t>月初，全县仅有</w:t>
      </w:r>
      <w:r w:rsidRPr="008C4E50">
        <w:rPr>
          <w:rFonts w:eastAsia="宋体" w:cs="Times New Roman"/>
          <w:color w:val="auto"/>
        </w:rPr>
        <w:t>142</w:t>
      </w:r>
      <w:r w:rsidRPr="008C4E50">
        <w:rPr>
          <w:rFonts w:eastAsia="宋体" w:cs="Times New Roman"/>
          <w:color w:val="auto"/>
        </w:rPr>
        <w:t>家规模以上工业企业，且产值超</w:t>
      </w:r>
      <w:r w:rsidRPr="008C4E50">
        <w:rPr>
          <w:rFonts w:eastAsia="宋体" w:cs="Times New Roman"/>
          <w:color w:val="auto"/>
        </w:rPr>
        <w:t>2</w:t>
      </w:r>
      <w:r w:rsidRPr="008C4E50">
        <w:rPr>
          <w:rFonts w:eastAsia="宋体" w:cs="Times New Roman"/>
          <w:color w:val="auto"/>
        </w:rPr>
        <w:t>亿元（含</w:t>
      </w:r>
      <w:r w:rsidRPr="008C4E50">
        <w:rPr>
          <w:rFonts w:eastAsia="宋体" w:cs="Times New Roman"/>
          <w:color w:val="auto"/>
        </w:rPr>
        <w:t>2</w:t>
      </w:r>
      <w:r w:rsidRPr="008C4E50">
        <w:rPr>
          <w:rFonts w:eastAsia="宋体" w:cs="Times New Roman"/>
          <w:color w:val="auto"/>
        </w:rPr>
        <w:t>亿元）的企业仅有</w:t>
      </w:r>
      <w:r w:rsidRPr="008C4E50">
        <w:rPr>
          <w:rFonts w:eastAsia="宋体" w:cs="Times New Roman"/>
          <w:color w:val="auto"/>
        </w:rPr>
        <w:t>1</w:t>
      </w:r>
      <w:r w:rsidRPr="008C4E50">
        <w:rPr>
          <w:rFonts w:eastAsia="宋体" w:cs="Times New Roman"/>
          <w:color w:val="auto"/>
        </w:rPr>
        <w:t>家，产值</w:t>
      </w:r>
      <w:r w:rsidRPr="008C4E50">
        <w:rPr>
          <w:rFonts w:eastAsia="宋体" w:cs="Times New Roman"/>
          <w:color w:val="auto"/>
        </w:rPr>
        <w:t>1</w:t>
      </w:r>
      <w:r w:rsidRPr="008C4E50">
        <w:rPr>
          <w:rFonts w:eastAsia="宋体" w:cs="Times New Roman"/>
          <w:color w:val="auto"/>
        </w:rPr>
        <w:t>亿至</w:t>
      </w:r>
      <w:r w:rsidRPr="008C4E50">
        <w:rPr>
          <w:rFonts w:eastAsia="宋体" w:cs="Times New Roman"/>
          <w:color w:val="auto"/>
        </w:rPr>
        <w:t>2</w:t>
      </w:r>
      <w:r w:rsidRPr="008C4E50">
        <w:rPr>
          <w:rFonts w:eastAsia="宋体" w:cs="Times New Roman"/>
          <w:color w:val="auto"/>
        </w:rPr>
        <w:t>亿元的仅有</w:t>
      </w:r>
      <w:r w:rsidRPr="008C4E50">
        <w:rPr>
          <w:rFonts w:eastAsia="宋体" w:cs="Times New Roman"/>
          <w:color w:val="auto"/>
        </w:rPr>
        <w:t>4</w:t>
      </w:r>
      <w:r w:rsidRPr="008C4E50">
        <w:rPr>
          <w:rFonts w:eastAsia="宋体" w:cs="Times New Roman"/>
          <w:color w:val="auto"/>
        </w:rPr>
        <w:t>家。截至</w:t>
      </w:r>
      <w:r w:rsidRPr="008C4E50">
        <w:rPr>
          <w:rFonts w:eastAsia="宋体" w:cs="Times New Roman"/>
          <w:color w:val="auto"/>
        </w:rPr>
        <w:t>2019</w:t>
      </w:r>
      <w:r w:rsidRPr="008C4E50">
        <w:rPr>
          <w:rFonts w:eastAsia="宋体" w:cs="Times New Roman"/>
          <w:color w:val="auto"/>
        </w:rPr>
        <w:t>年底，规模以上工业在库企业有</w:t>
      </w:r>
      <w:r w:rsidRPr="008C4E50">
        <w:rPr>
          <w:rFonts w:eastAsia="宋体" w:cs="Times New Roman"/>
          <w:color w:val="auto"/>
        </w:rPr>
        <w:t>156</w:t>
      </w:r>
      <w:r w:rsidRPr="008C4E50">
        <w:rPr>
          <w:rFonts w:eastAsia="宋体" w:cs="Times New Roman"/>
          <w:color w:val="auto"/>
        </w:rPr>
        <w:t>家，但预计推出</w:t>
      </w:r>
      <w:r w:rsidRPr="008C4E50">
        <w:rPr>
          <w:rFonts w:eastAsia="宋体" w:cs="Times New Roman"/>
          <w:color w:val="auto"/>
        </w:rPr>
        <w:t>28</w:t>
      </w:r>
      <w:r w:rsidRPr="008C4E50">
        <w:rPr>
          <w:rFonts w:eastAsia="宋体" w:cs="Times New Roman"/>
          <w:color w:val="auto"/>
        </w:rPr>
        <w:t>家，工商已注销</w:t>
      </w:r>
      <w:r w:rsidRPr="008C4E50">
        <w:rPr>
          <w:rFonts w:eastAsia="宋体" w:cs="Times New Roman"/>
          <w:color w:val="auto"/>
        </w:rPr>
        <w:t>1</w:t>
      </w:r>
      <w:r w:rsidRPr="008C4E50">
        <w:rPr>
          <w:rFonts w:eastAsia="宋体" w:cs="Times New Roman"/>
          <w:color w:val="auto"/>
        </w:rPr>
        <w:t>家。即工业企业仍以中小企业为主，缺乏大型企业带动，企业普遍缺乏资金、技术及人才，缺乏核心竞争力。其二，全县企业集中于建筑用砖、陶瓷、大理石加工等传统建筑产业，难以利用技术进步及转型升级产生更大的规模效益。截至</w:t>
      </w:r>
      <w:r w:rsidRPr="008C4E50">
        <w:rPr>
          <w:rFonts w:eastAsia="宋体" w:cs="Times New Roman"/>
          <w:color w:val="auto"/>
        </w:rPr>
        <w:t>2019</w:t>
      </w:r>
      <w:r w:rsidRPr="008C4E50">
        <w:rPr>
          <w:rFonts w:eastAsia="宋体" w:cs="Times New Roman"/>
          <w:color w:val="auto"/>
        </w:rPr>
        <w:t>年</w:t>
      </w:r>
      <w:r w:rsidRPr="008C4E50">
        <w:rPr>
          <w:rFonts w:eastAsia="宋体" w:cs="Times New Roman"/>
          <w:color w:val="auto"/>
        </w:rPr>
        <w:t>9</w:t>
      </w:r>
      <w:r w:rsidRPr="008C4E50">
        <w:rPr>
          <w:rFonts w:eastAsia="宋体" w:cs="Times New Roman"/>
          <w:color w:val="auto"/>
        </w:rPr>
        <w:t>月初，茶陵县制造业企业共有</w:t>
      </w:r>
      <w:r w:rsidRPr="008C4E50">
        <w:rPr>
          <w:rFonts w:eastAsia="宋体" w:cs="Times New Roman"/>
          <w:color w:val="auto"/>
        </w:rPr>
        <w:t>101</w:t>
      </w:r>
      <w:r w:rsidRPr="008C4E50">
        <w:rPr>
          <w:rFonts w:eastAsia="宋体" w:cs="Times New Roman"/>
          <w:color w:val="auto"/>
        </w:rPr>
        <w:t>家，占企业总数比例</w:t>
      </w:r>
      <w:r w:rsidRPr="008C4E50">
        <w:rPr>
          <w:rFonts w:eastAsia="宋体" w:cs="Times New Roman"/>
          <w:color w:val="auto"/>
        </w:rPr>
        <w:t>71%</w:t>
      </w:r>
      <w:r w:rsidRPr="008C4E50">
        <w:rPr>
          <w:rFonts w:eastAsia="宋体" w:cs="Times New Roman"/>
          <w:color w:val="auto"/>
        </w:rPr>
        <w:t>，累计增加值占整体增加值比例</w:t>
      </w:r>
      <w:r w:rsidRPr="008C4E50">
        <w:rPr>
          <w:rFonts w:eastAsia="宋体" w:cs="Times New Roman"/>
          <w:color w:val="auto"/>
        </w:rPr>
        <w:t>77.2%</w:t>
      </w:r>
      <w:r w:rsidRPr="008C4E50">
        <w:rPr>
          <w:rFonts w:eastAsia="宋体" w:cs="Times New Roman"/>
          <w:color w:val="auto"/>
        </w:rPr>
        <w:t>，对整体增加值的贡献率为</w:t>
      </w:r>
      <w:r w:rsidRPr="008C4E50">
        <w:rPr>
          <w:rFonts w:eastAsia="宋体" w:cs="Times New Roman"/>
          <w:color w:val="auto"/>
        </w:rPr>
        <w:t>120.2%</w:t>
      </w:r>
      <w:r w:rsidRPr="008C4E50">
        <w:rPr>
          <w:rFonts w:eastAsia="宋体" w:cs="Times New Roman"/>
          <w:color w:val="auto"/>
        </w:rPr>
        <w:t>。但制造业企业发展方式粗放，仍然处于高投入、高消耗、高污染、低效益的发展模式中，因而难以实现规模效益的增长。</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同时，产业品牌效益低下也是茶陵县产业转型升级面临的一大问题。县级企业自身市场竞争力不强，又缺乏有效宣传，导致各企业品牌效益较差。产品品牌知名度不高，企业品牌知晓度不高，企业经营范围较小，缺乏</w:t>
      </w:r>
      <w:r w:rsidRPr="008C4E50">
        <w:rPr>
          <w:rFonts w:eastAsia="宋体" w:cs="Times New Roman"/>
          <w:color w:val="auto"/>
        </w:rPr>
        <w:t>“</w:t>
      </w:r>
      <w:r w:rsidRPr="008C4E50">
        <w:rPr>
          <w:rFonts w:eastAsia="宋体" w:cs="Times New Roman"/>
          <w:color w:val="auto"/>
        </w:rPr>
        <w:t>走出去</w:t>
      </w:r>
      <w:r w:rsidRPr="008C4E50">
        <w:rPr>
          <w:rFonts w:eastAsia="宋体" w:cs="Times New Roman"/>
          <w:color w:val="auto"/>
        </w:rPr>
        <w:t>”</w:t>
      </w:r>
      <w:r w:rsidRPr="008C4E50">
        <w:rPr>
          <w:rFonts w:eastAsia="宋体" w:cs="Times New Roman"/>
          <w:color w:val="auto"/>
        </w:rPr>
        <w:t>的底气与渠道。以我们实践中参访的贵派电器为例，这是一家成立二十余年的老企业，拥有</w:t>
      </w:r>
      <w:r w:rsidRPr="008C4E50">
        <w:rPr>
          <w:rFonts w:eastAsia="宋体" w:cs="Times New Roman"/>
          <w:color w:val="auto"/>
        </w:rPr>
        <w:t>214</w:t>
      </w:r>
      <w:r w:rsidRPr="008C4E50">
        <w:rPr>
          <w:rFonts w:eastAsia="宋体" w:cs="Times New Roman"/>
          <w:color w:val="auto"/>
        </w:rPr>
        <w:t>项健康照明相关国家专利，也是茶陵县唯一获得</w:t>
      </w:r>
      <w:r w:rsidRPr="008C4E50">
        <w:rPr>
          <w:rFonts w:eastAsia="宋体" w:cs="Times New Roman"/>
          <w:color w:val="auto"/>
        </w:rPr>
        <w:t>“</w:t>
      </w:r>
      <w:r w:rsidRPr="008C4E50">
        <w:rPr>
          <w:rFonts w:eastAsia="宋体" w:cs="Times New Roman"/>
          <w:color w:val="auto"/>
        </w:rPr>
        <w:t>中国驰名商标</w:t>
      </w:r>
      <w:r w:rsidRPr="008C4E50">
        <w:rPr>
          <w:rFonts w:eastAsia="宋体" w:cs="Times New Roman"/>
          <w:color w:val="auto"/>
        </w:rPr>
        <w:t>”</w:t>
      </w:r>
      <w:r w:rsidRPr="008C4E50">
        <w:rPr>
          <w:rFonts w:eastAsia="宋体" w:cs="Times New Roman"/>
          <w:color w:val="auto"/>
        </w:rPr>
        <w:t>的企业，但在全国范围内仍处于少人知晓的尴尬境地，相关新闻资讯及宣传推广并不到位，官网的相关更新及维护也有一些漏洞，宣传工作的缺失可见一斑。一家已经在全国</w:t>
      </w:r>
      <w:r w:rsidRPr="008C4E50">
        <w:rPr>
          <w:rFonts w:eastAsia="宋体" w:cs="Times New Roman"/>
          <w:color w:val="auto"/>
        </w:rPr>
        <w:t>30</w:t>
      </w:r>
      <w:r w:rsidRPr="008C4E50">
        <w:rPr>
          <w:rFonts w:eastAsia="宋体" w:cs="Times New Roman"/>
          <w:color w:val="auto"/>
        </w:rPr>
        <w:t>多个省份建立销售渠道及经销商网络的老牌企业尚且如此，遑论一些更小规模的新兴企业。因而，品牌效应不强是茶陵县产业发展面临的困境之一。</w:t>
      </w:r>
    </w:p>
    <w:p w:rsidR="008C4E50" w:rsidRPr="008C4E50" w:rsidRDefault="008C4E50" w:rsidP="008C4E50">
      <w:pPr>
        <w:widowControl w:val="0"/>
        <w:ind w:firstLine="480"/>
        <w:jc w:val="both"/>
        <w:rPr>
          <w:rFonts w:eastAsia="宋体" w:cs="Times New Roman"/>
          <w:b/>
          <w:bCs/>
          <w:color w:val="auto"/>
        </w:rPr>
      </w:pPr>
    </w:p>
    <w:p w:rsidR="008C4E50" w:rsidRPr="008C4E50" w:rsidRDefault="008C4E50" w:rsidP="008C4E50">
      <w:pPr>
        <w:keepNext/>
        <w:keepLines/>
        <w:widowControl w:val="0"/>
        <w:jc w:val="both"/>
        <w:outlineLvl w:val="1"/>
        <w:rPr>
          <w:rFonts w:eastAsia="宋体" w:cs="Times New Roman"/>
          <w:b/>
          <w:bCs/>
          <w:color w:val="auto"/>
        </w:rPr>
      </w:pPr>
      <w:bookmarkStart w:id="20" w:name="_Toc1008"/>
      <w:bookmarkStart w:id="21" w:name="_Toc24278"/>
      <w:bookmarkStart w:id="22" w:name="_Toc24704"/>
      <w:r w:rsidRPr="008C4E50">
        <w:rPr>
          <w:rFonts w:eastAsia="宋体" w:cs="Times New Roman" w:hint="eastAsia"/>
          <w:b/>
          <w:bCs/>
          <w:color w:val="auto"/>
        </w:rPr>
        <w:t>1.4</w:t>
      </w:r>
      <w:r w:rsidRPr="008C4E50">
        <w:rPr>
          <w:rFonts w:eastAsia="宋体" w:cs="Times New Roman" w:hint="eastAsia"/>
          <w:b/>
          <w:bCs/>
          <w:color w:val="auto"/>
        </w:rPr>
        <w:t>茶陵县乡村旅游产业存在的问题</w:t>
      </w:r>
      <w:bookmarkEnd w:id="20"/>
      <w:bookmarkEnd w:id="21"/>
      <w:bookmarkEnd w:id="22"/>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茶陵县地处湘赣边界、罗霄山脉西麓，自然景观优美。正是如此，国务院为茶陵县定制的</w:t>
      </w:r>
      <w:r w:rsidRPr="008C4E50">
        <w:rPr>
          <w:rFonts w:eastAsia="宋体" w:cs="Times New Roman"/>
          <w:color w:val="auto"/>
        </w:rPr>
        <w:t>“</w:t>
      </w:r>
      <w:r w:rsidRPr="008C4E50">
        <w:rPr>
          <w:rFonts w:eastAsia="宋体" w:cs="Times New Roman"/>
          <w:color w:val="auto"/>
        </w:rPr>
        <w:t>脱贫方案</w:t>
      </w:r>
      <w:r w:rsidRPr="008C4E50">
        <w:rPr>
          <w:rFonts w:eastAsia="宋体" w:cs="Times New Roman"/>
          <w:color w:val="auto"/>
        </w:rPr>
        <w:t>”</w:t>
      </w:r>
      <w:r w:rsidRPr="008C4E50">
        <w:rPr>
          <w:rFonts w:eastAsia="宋体" w:cs="Times New Roman"/>
          <w:color w:val="auto"/>
        </w:rPr>
        <w:t>中非常重要的一部分即是乡村旅游扶贫，即在保持贫困地区优美自然环境的同时，让良好的生态成为群众脱贫致富的</w:t>
      </w:r>
      <w:r w:rsidRPr="008C4E50">
        <w:rPr>
          <w:rFonts w:eastAsia="宋体" w:cs="Times New Roman"/>
          <w:color w:val="auto"/>
        </w:rPr>
        <w:t>“</w:t>
      </w:r>
      <w:r w:rsidRPr="008C4E50">
        <w:rPr>
          <w:rFonts w:eastAsia="宋体" w:cs="Times New Roman"/>
          <w:color w:val="auto"/>
        </w:rPr>
        <w:t>钱袋子</w:t>
      </w:r>
      <w:r w:rsidRPr="008C4E50">
        <w:rPr>
          <w:rFonts w:eastAsia="宋体" w:cs="Times New Roman"/>
          <w:color w:val="auto"/>
        </w:rPr>
        <w:t>”</w:t>
      </w:r>
      <w:r w:rsidRPr="008C4E50">
        <w:rPr>
          <w:rFonts w:eastAsia="宋体" w:cs="Times New Roman"/>
          <w:color w:val="auto"/>
        </w:rPr>
        <w:t>。经过实地探访，我们发现乡村旅游扶贫的确卓有成效。然而，我们认为，茶陵县的乡村旅游产业仍然存在一些微小的问题。</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首先，是宣传工作仍然存在着缺失。经过探访，我们发现茶陵县的风景的确独树一帜，不会令游客失望。然而，当地人民仍然表示，他们希望更多的游客能够知道茶陵，并来到茶陵来旅游。因此，如何能让茶陵县的自然景观得到更加充分的宣传是目前的关键问题。如果宣传工作不到位的话，茶陵的优秀旅游资源就无法得到充分的开发与利用。</w:t>
      </w:r>
    </w:p>
    <w:p w:rsidR="008C4E50" w:rsidRPr="008C4E50" w:rsidRDefault="008C4E50" w:rsidP="004A0A26">
      <w:pPr>
        <w:widowControl w:val="0"/>
        <w:ind w:firstLine="480"/>
        <w:jc w:val="both"/>
        <w:rPr>
          <w:rFonts w:eastAsia="宋体" w:cs="Times New Roman" w:hint="eastAsia"/>
          <w:color w:val="auto"/>
        </w:rPr>
      </w:pPr>
      <w:r w:rsidRPr="008C4E50">
        <w:rPr>
          <w:rFonts w:eastAsia="宋体" w:cs="Times New Roman"/>
          <w:color w:val="auto"/>
        </w:rPr>
        <w:t>其次，是旅游设施并没有得到充分的建设。我们所去的火田大龙村有着</w:t>
      </w:r>
      <w:r w:rsidRPr="008C4E50">
        <w:rPr>
          <w:rFonts w:eastAsia="宋体" w:cs="Times New Roman"/>
          <w:color w:val="auto"/>
        </w:rPr>
        <w:t>“</w:t>
      </w:r>
      <w:r w:rsidRPr="008C4E50">
        <w:rPr>
          <w:rFonts w:eastAsia="宋体" w:cs="Times New Roman"/>
          <w:color w:val="auto"/>
        </w:rPr>
        <w:t>人间仙境，养生福地</w:t>
      </w:r>
      <w:r w:rsidRPr="008C4E50">
        <w:rPr>
          <w:rFonts w:eastAsia="宋体" w:cs="Times New Roman"/>
          <w:color w:val="auto"/>
        </w:rPr>
        <w:t>”</w:t>
      </w:r>
      <w:r w:rsidRPr="008C4E50">
        <w:rPr>
          <w:rFonts w:eastAsia="宋体" w:cs="Times New Roman"/>
          <w:color w:val="auto"/>
        </w:rPr>
        <w:t>的美誉，而情况确实如此：当地景观优美，有着茂林修竹，淙淙泉水，的确是一块人间福地。然而，我们也发现当地的旅游设施存在着一些缺失，并没有将景点完全开发出来。例如，山路过于难走，中途也缺少能够停留休息的地方。再比如，乡村有着美丽的景色，但是缺少餐饮、民宿、采摘、农家乐这些吸引游客的元素。如果能够将相关旅游设施</w:t>
      </w:r>
      <w:r w:rsidRPr="008C4E50">
        <w:rPr>
          <w:rFonts w:eastAsia="宋体" w:cs="Times New Roman" w:hint="eastAsia"/>
          <w:color w:val="auto"/>
        </w:rPr>
        <w:t>建设得更好</w:t>
      </w:r>
      <w:r w:rsidRPr="008C4E50">
        <w:rPr>
          <w:rFonts w:eastAsia="宋体" w:cs="Times New Roman"/>
          <w:color w:val="auto"/>
        </w:rPr>
        <w:t>，必定等吸引更多</w:t>
      </w:r>
      <w:r w:rsidRPr="008C4E50">
        <w:rPr>
          <w:rFonts w:eastAsia="宋体" w:cs="Times New Roman"/>
          <w:color w:val="auto"/>
        </w:rPr>
        <w:lastRenderedPageBreak/>
        <w:t>的游客来到茶陵游玩。</w:t>
      </w:r>
    </w:p>
    <w:p w:rsidR="008C4E50" w:rsidRPr="008C4E50" w:rsidRDefault="008C4E50" w:rsidP="008C4E50">
      <w:pPr>
        <w:keepNext/>
        <w:keepLines/>
        <w:widowControl w:val="0"/>
        <w:jc w:val="both"/>
        <w:outlineLvl w:val="1"/>
        <w:rPr>
          <w:rFonts w:eastAsia="宋体" w:cs="Times New Roman"/>
          <w:b/>
          <w:bCs/>
          <w:color w:val="auto"/>
        </w:rPr>
      </w:pPr>
      <w:bookmarkStart w:id="23" w:name="_Toc11778"/>
      <w:bookmarkStart w:id="24" w:name="_Toc14235"/>
      <w:bookmarkStart w:id="25" w:name="_Toc30333"/>
      <w:r w:rsidRPr="008C4E50">
        <w:rPr>
          <w:rFonts w:eastAsia="宋体" w:cs="Times New Roman" w:hint="eastAsia"/>
          <w:b/>
          <w:bCs/>
          <w:color w:val="auto"/>
        </w:rPr>
        <w:t>1.5</w:t>
      </w:r>
      <w:r w:rsidRPr="008C4E50">
        <w:rPr>
          <w:rFonts w:eastAsia="宋体" w:cs="Times New Roman" w:hint="eastAsia"/>
          <w:b/>
          <w:bCs/>
          <w:color w:val="auto"/>
        </w:rPr>
        <w:t>茶陵县第三产业大类面临的问题</w:t>
      </w:r>
      <w:bookmarkEnd w:id="23"/>
      <w:bookmarkEnd w:id="24"/>
      <w:bookmarkEnd w:id="25"/>
    </w:p>
    <w:p w:rsidR="008C4E50" w:rsidRPr="008C4E50" w:rsidRDefault="008C4E50" w:rsidP="008C4E50">
      <w:pPr>
        <w:widowControl w:val="0"/>
        <w:ind w:firstLine="480"/>
        <w:jc w:val="both"/>
        <w:rPr>
          <w:rFonts w:eastAsia="宋体" w:cs="Times New Roman"/>
          <w:color w:val="333333"/>
          <w:shd w:val="clear" w:color="auto" w:fill="FFFFFF"/>
        </w:rPr>
      </w:pPr>
      <w:r w:rsidRPr="008C4E50">
        <w:rPr>
          <w:rFonts w:eastAsia="宋体" w:cs="Times New Roman"/>
          <w:color w:val="333333"/>
          <w:shd w:val="clear" w:color="auto" w:fill="FFFFFF"/>
        </w:rPr>
        <w:t>一般定义上的第三产业包括：交通运输、仓储和邮政业，信息传输、计算机服务和软件业，批发和零售业，住宿和餐饮业，金融业，房地产业，租赁和商务服务业，科学研究、技术服务和地质勘查业，水利、环境和公共设施管理业，居民服务和其他服务业，教育，卫生、社会保障和社会福利业，文化、体育和娱乐业，公共管理和社会组织，国际组织等行业。显然，金融等高端服务业现在还不适合在茶陵发展；因此我们在这里主要考察与生活相关紧密的基本服务。作为一个县级单位，茶陵的服务业并不繁荣。举例来说，我们在当地留宿期间，可见街道上餐饮、娱乐、商业少、小微型服务提供少，沿街许多商铺空置或早早打烊。其主要原因有：</w:t>
      </w:r>
    </w:p>
    <w:p w:rsidR="008C4E50" w:rsidRPr="008C4E50" w:rsidRDefault="008C4E50" w:rsidP="008C4E50">
      <w:pPr>
        <w:widowControl w:val="0"/>
        <w:ind w:firstLine="480"/>
        <w:jc w:val="both"/>
        <w:rPr>
          <w:rFonts w:ascii="Calibri" w:eastAsia="宋体" w:hAnsi="Calibri" w:cs="Times New Roman"/>
          <w:color w:val="auto"/>
        </w:rPr>
      </w:pPr>
      <w:r w:rsidRPr="008C4E50">
        <w:rPr>
          <w:rFonts w:ascii="Calibri" w:eastAsia="宋体" w:hAnsi="Calibri" w:cs="Times New Roman" w:hint="eastAsia"/>
          <w:color w:val="auto"/>
        </w:rPr>
        <w:t>第一，当</w:t>
      </w:r>
      <w:r w:rsidRPr="008C4E50">
        <w:rPr>
          <w:rFonts w:ascii="Calibri" w:eastAsia="宋体" w:hAnsi="Calibri" w:cs="Times New Roman"/>
          <w:color w:val="auto"/>
        </w:rPr>
        <w:t>地属于人口净流出地，大量人员外出务工，遏制了本地常规生活服务业的发展。</w:t>
      </w:r>
      <w:r w:rsidRPr="008C4E50">
        <w:rPr>
          <w:rFonts w:ascii="Calibri" w:eastAsia="宋体" w:hAnsi="Calibri" w:cs="Times New Roman" w:hint="eastAsia"/>
          <w:color w:val="auto"/>
        </w:rPr>
        <w:t>第二，</w:t>
      </w:r>
      <w:r w:rsidRPr="008C4E50">
        <w:rPr>
          <w:rFonts w:ascii="Calibri" w:eastAsia="宋体" w:hAnsi="Calibri" w:cs="Times New Roman"/>
          <w:color w:val="auto"/>
        </w:rPr>
        <w:t>今年上半年疫情对抗风险能力弱的个体经营者影响大。</w:t>
      </w:r>
      <w:r w:rsidRPr="008C4E50">
        <w:rPr>
          <w:rFonts w:ascii="Calibri" w:eastAsia="宋体" w:hAnsi="Calibri" w:cs="Times New Roman" w:hint="eastAsia"/>
          <w:color w:val="auto"/>
        </w:rPr>
        <w:t>第三，</w:t>
      </w:r>
      <w:r w:rsidRPr="008C4E50">
        <w:rPr>
          <w:rFonts w:ascii="Calibri" w:eastAsia="宋体" w:hAnsi="Calibri" w:cs="Times New Roman"/>
          <w:color w:val="auto"/>
        </w:rPr>
        <w:t>文化资产等隐形资源开发和推介力度有待加强。如，当地虽然有丰富的红色文化资源底蕴，但并未成功开发出对应的文化创意产品和完整产业链。</w:t>
      </w:r>
    </w:p>
    <w:p w:rsidR="008C4E50" w:rsidRPr="008C4E50" w:rsidRDefault="008C4E50" w:rsidP="008C4E50">
      <w:pPr>
        <w:widowControl w:val="0"/>
        <w:ind w:firstLineChars="83" w:firstLine="200"/>
        <w:jc w:val="both"/>
        <w:rPr>
          <w:rFonts w:eastAsia="宋体" w:cs="Times New Roman"/>
          <w:b/>
          <w:bCs/>
          <w:color w:val="auto"/>
        </w:rPr>
      </w:pPr>
    </w:p>
    <w:p w:rsidR="008C4E50" w:rsidRPr="008C4E50" w:rsidRDefault="008C4E50" w:rsidP="008C4E50">
      <w:pPr>
        <w:keepNext/>
        <w:keepLines/>
        <w:widowControl w:val="0"/>
        <w:jc w:val="both"/>
        <w:outlineLvl w:val="1"/>
        <w:rPr>
          <w:rFonts w:eastAsia="宋体" w:cs="Times New Roman"/>
          <w:b/>
          <w:bCs/>
          <w:color w:val="auto"/>
        </w:rPr>
      </w:pPr>
      <w:bookmarkStart w:id="26" w:name="_Toc13895"/>
      <w:bookmarkStart w:id="27" w:name="_Toc25864"/>
      <w:bookmarkStart w:id="28" w:name="_Toc3233"/>
      <w:r w:rsidRPr="008C4E50">
        <w:rPr>
          <w:rFonts w:eastAsia="宋体" w:cs="Times New Roman" w:hint="eastAsia"/>
          <w:b/>
          <w:bCs/>
          <w:color w:val="auto"/>
        </w:rPr>
        <w:t>1.6</w:t>
      </w:r>
      <w:r w:rsidRPr="008C4E50">
        <w:rPr>
          <w:rFonts w:eastAsia="宋体" w:cs="Times New Roman" w:hint="eastAsia"/>
          <w:b/>
          <w:bCs/>
          <w:color w:val="auto"/>
        </w:rPr>
        <w:t>茶陵县电商扶贫存在的问题</w:t>
      </w:r>
      <w:bookmarkEnd w:id="26"/>
      <w:bookmarkEnd w:id="27"/>
      <w:bookmarkEnd w:id="28"/>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在茶陵县的脱贫过程中，电商扶贫取得显著效果，茶陵县已建成</w:t>
      </w:r>
      <w:r w:rsidRPr="008C4E50">
        <w:rPr>
          <w:rFonts w:eastAsia="宋体" w:cs="Times New Roman"/>
          <w:color w:val="auto"/>
        </w:rPr>
        <w:t>1</w:t>
      </w:r>
      <w:r w:rsidRPr="008C4E50">
        <w:rPr>
          <w:rFonts w:eastAsia="宋体" w:cs="Times New Roman"/>
          <w:color w:val="auto"/>
        </w:rPr>
        <w:t>个县级电子商务公共服务中心，</w:t>
      </w:r>
      <w:r w:rsidRPr="008C4E50">
        <w:rPr>
          <w:rFonts w:eastAsia="宋体" w:cs="Times New Roman"/>
          <w:color w:val="auto"/>
        </w:rPr>
        <w:t>198</w:t>
      </w:r>
      <w:r w:rsidRPr="008C4E50">
        <w:rPr>
          <w:rFonts w:eastAsia="宋体" w:cs="Times New Roman"/>
          <w:color w:val="auto"/>
        </w:rPr>
        <w:t>个村镇电商服务站点，有效破解了茶陵贫困地区发展的</w:t>
      </w:r>
      <w:r w:rsidRPr="008C4E50">
        <w:rPr>
          <w:rFonts w:eastAsia="宋体" w:cs="Times New Roman" w:hint="eastAsia"/>
          <w:color w:val="auto"/>
        </w:rPr>
        <w:t>“</w:t>
      </w:r>
      <w:r w:rsidRPr="008C4E50">
        <w:rPr>
          <w:rFonts w:eastAsia="宋体" w:cs="Times New Roman"/>
          <w:color w:val="auto"/>
        </w:rPr>
        <w:t>信息鸿沟</w:t>
      </w:r>
      <w:r w:rsidRPr="008C4E50">
        <w:rPr>
          <w:rFonts w:eastAsia="宋体" w:cs="Times New Roman" w:hint="eastAsia"/>
          <w:color w:val="auto"/>
        </w:rPr>
        <w:t>”</w:t>
      </w:r>
      <w:r w:rsidRPr="008C4E50">
        <w:rPr>
          <w:rFonts w:eastAsia="宋体" w:cs="Times New Roman"/>
          <w:color w:val="auto"/>
        </w:rPr>
        <w:t>和</w:t>
      </w:r>
      <w:r w:rsidRPr="008C4E50">
        <w:rPr>
          <w:rFonts w:eastAsia="宋体" w:cs="Times New Roman" w:hint="eastAsia"/>
          <w:color w:val="auto"/>
        </w:rPr>
        <w:t>“</w:t>
      </w:r>
      <w:r w:rsidRPr="008C4E50">
        <w:rPr>
          <w:rFonts w:eastAsia="宋体" w:cs="Times New Roman"/>
          <w:color w:val="auto"/>
        </w:rPr>
        <w:t>孤岛效应</w:t>
      </w:r>
      <w:r w:rsidRPr="008C4E50">
        <w:rPr>
          <w:rFonts w:eastAsia="宋体" w:cs="Times New Roman" w:hint="eastAsia"/>
          <w:color w:val="auto"/>
        </w:rPr>
        <w:t>”</w:t>
      </w:r>
      <w:r w:rsidRPr="008C4E50">
        <w:rPr>
          <w:rFonts w:eastAsia="宋体" w:cs="Times New Roman"/>
          <w:color w:val="auto"/>
        </w:rPr>
        <w:t>，农民的农产品直接与市场对接，减少交易成本，提高农民收入。今年初，在疫情防控期间，县政府带头带货直播，有效解决了农产品滞销问题。但在与茶陵两个村村干部交流后，发现其电商扶贫模式仍然存在一些问题。</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其一，农业人才引进不足。茶陵县虽然制定了</w:t>
      </w:r>
      <w:r w:rsidRPr="008C4E50">
        <w:rPr>
          <w:rFonts w:eastAsia="宋体" w:cs="Times New Roman"/>
          <w:color w:val="auto"/>
        </w:rPr>
        <w:t>“</w:t>
      </w:r>
      <w:r w:rsidRPr="008C4E50">
        <w:rPr>
          <w:rFonts w:eastAsia="宋体" w:cs="Times New Roman"/>
          <w:color w:val="auto"/>
        </w:rPr>
        <w:t>一村一策</w:t>
      </w:r>
      <w:r w:rsidRPr="008C4E50">
        <w:rPr>
          <w:rFonts w:eastAsia="宋体" w:cs="Times New Roman"/>
          <w:color w:val="auto"/>
        </w:rPr>
        <w:t>”</w:t>
      </w:r>
      <w:r w:rsidRPr="008C4E50">
        <w:rPr>
          <w:rFonts w:eastAsia="宋体" w:cs="Times New Roman"/>
          <w:color w:val="auto"/>
        </w:rPr>
        <w:t>政策，为各村制定不同的经济发展方向，但是据村干部介绍，虽然有短期的技术培训，但并没有长期的专业人员技术指导，无法及时解决一些突发性灾害。如某村引进的广西猪只是将其在大山中放养，而没有进行专业化的饲养。由此带来的问题便是农产品的品质与产量无法得到充分保障，在电商平台中无法保持核心竞争力，从而更难在同类产品中胜出。</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其二，茶陵县电商未能形成产业链条。茶陵县成立了不少的服务站点，但更多的是起到一个中转站的作用，而不是加工站的作用。这对农民而言，电商便只是扩充了农民产品销售的途径，但是未能真正将农产品</w:t>
      </w:r>
      <w:r w:rsidRPr="008C4E50">
        <w:rPr>
          <w:rFonts w:eastAsia="宋体" w:cs="Times New Roman"/>
          <w:color w:val="auto"/>
        </w:rPr>
        <w:t>“</w:t>
      </w:r>
      <w:r w:rsidRPr="008C4E50">
        <w:rPr>
          <w:rFonts w:eastAsia="宋体" w:cs="Times New Roman"/>
          <w:color w:val="auto"/>
        </w:rPr>
        <w:t>升值</w:t>
      </w:r>
      <w:r w:rsidRPr="008C4E50">
        <w:rPr>
          <w:rFonts w:eastAsia="宋体" w:cs="Times New Roman"/>
          <w:color w:val="auto"/>
        </w:rPr>
        <w:t>”</w:t>
      </w:r>
      <w:r w:rsidRPr="008C4E50">
        <w:rPr>
          <w:rFonts w:eastAsia="宋体" w:cs="Times New Roman"/>
          <w:color w:val="auto"/>
        </w:rPr>
        <w:t>，创造更多利益。</w:t>
      </w:r>
    </w:p>
    <w:p w:rsidR="008C4E50" w:rsidRPr="008C4E50" w:rsidRDefault="008C4E50" w:rsidP="008C4E50">
      <w:pPr>
        <w:widowControl w:val="0"/>
        <w:jc w:val="both"/>
        <w:rPr>
          <w:rFonts w:eastAsia="宋体" w:cs="Times New Roman"/>
          <w:color w:val="auto"/>
        </w:rPr>
      </w:pPr>
    </w:p>
    <w:p w:rsidR="008C4E50" w:rsidRPr="008C4E50" w:rsidRDefault="008C4E50" w:rsidP="008C4E50">
      <w:pPr>
        <w:widowControl w:val="0"/>
        <w:tabs>
          <w:tab w:val="right" w:leader="dot" w:pos="8306"/>
        </w:tabs>
        <w:jc w:val="both"/>
        <w:outlineLvl w:val="0"/>
        <w:rPr>
          <w:rFonts w:ascii="宋体" w:eastAsia="宋体" w:hAnsi="宋体" w:cs="宋体"/>
          <w:b/>
          <w:color w:val="auto"/>
          <w:sz w:val="32"/>
          <w:szCs w:val="32"/>
        </w:rPr>
      </w:pPr>
      <w:bookmarkStart w:id="29" w:name="_Toc2957"/>
      <w:bookmarkStart w:id="30" w:name="_Toc4419"/>
      <w:bookmarkStart w:id="31" w:name="_Toc30251"/>
      <w:bookmarkStart w:id="32" w:name="_Toc12668"/>
      <w:bookmarkStart w:id="33" w:name="_Toc31181"/>
      <w:bookmarkStart w:id="34" w:name="_Toc715"/>
      <w:bookmarkStart w:id="35" w:name="_Toc26147"/>
      <w:bookmarkStart w:id="36" w:name="_Toc2083"/>
      <w:bookmarkStart w:id="37" w:name="_Toc28951"/>
      <w:bookmarkStart w:id="38" w:name="_Toc13533"/>
      <w:bookmarkStart w:id="39" w:name="_Toc15365"/>
      <w:bookmarkStart w:id="40" w:name="_Toc12496"/>
      <w:bookmarkStart w:id="41" w:name="_Toc22894"/>
      <w:bookmarkStart w:id="42" w:name="_Toc56104674"/>
      <w:r w:rsidRPr="008C4E50">
        <w:rPr>
          <w:rFonts w:ascii="宋体" w:eastAsia="宋体" w:hAnsi="宋体" w:cs="宋体" w:hint="eastAsia"/>
          <w:b/>
          <w:color w:val="auto"/>
          <w:sz w:val="32"/>
          <w:szCs w:val="32"/>
        </w:rPr>
        <w:t>2.茶陵县经济社会发展问题解决建议</w:t>
      </w:r>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C4E50" w:rsidRPr="008C4E50" w:rsidRDefault="008C4E50" w:rsidP="008C4E50">
      <w:pPr>
        <w:keepNext/>
        <w:keepLines/>
        <w:widowControl w:val="0"/>
        <w:jc w:val="both"/>
        <w:outlineLvl w:val="1"/>
        <w:rPr>
          <w:rFonts w:eastAsia="宋体" w:cs="Times New Roman"/>
          <w:b/>
          <w:bCs/>
          <w:color w:val="auto"/>
        </w:rPr>
      </w:pPr>
      <w:bookmarkStart w:id="43" w:name="_Toc18648"/>
      <w:bookmarkStart w:id="44" w:name="_Toc13918"/>
      <w:bookmarkStart w:id="45" w:name="_Toc10232"/>
      <w:r w:rsidRPr="008C4E50">
        <w:rPr>
          <w:rFonts w:eastAsia="宋体" w:cs="Times New Roman" w:hint="eastAsia"/>
          <w:b/>
          <w:bCs/>
          <w:color w:val="auto"/>
        </w:rPr>
        <w:t xml:space="preserve">2.1 </w:t>
      </w:r>
      <w:r w:rsidRPr="008C4E50">
        <w:rPr>
          <w:rFonts w:eastAsia="宋体" w:cs="Times New Roman" w:hint="eastAsia"/>
          <w:b/>
          <w:bCs/>
          <w:color w:val="auto"/>
        </w:rPr>
        <w:t>第一产业的发展思路</w:t>
      </w:r>
      <w:bookmarkEnd w:id="43"/>
      <w:bookmarkEnd w:id="44"/>
      <w:bookmarkEnd w:id="45"/>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丘陵分割农田和土地流转是中西部丘陵地区面临的普遍问题，结合茶陵地区的特点，可以从普遍到特殊分析第一产业可持续发展的思路。</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首先，耕地破碎化阻碍农业机械的采用，不适应企业大规模承包经营，影响农业生产率的提高，制约农业发展。针对这一自然阻碍，耕地硬件设施上可以有所改善，优化田间道路设计，利用道路将被分割的、较为破碎的土地有机整合起来，方便机械化操作和大面积统一管理；另外，借鉴其他地区</w:t>
      </w:r>
      <w:r w:rsidRPr="008C4E50">
        <w:rPr>
          <w:rFonts w:eastAsia="宋体" w:cs="Times New Roman"/>
          <w:color w:val="auto"/>
        </w:rPr>
        <w:t>“</w:t>
      </w:r>
      <w:r w:rsidRPr="008C4E50">
        <w:rPr>
          <w:rFonts w:eastAsia="宋体" w:cs="Times New Roman"/>
          <w:color w:val="auto"/>
        </w:rPr>
        <w:t>一区一特色</w:t>
      </w:r>
      <w:r w:rsidRPr="008C4E50">
        <w:rPr>
          <w:rFonts w:eastAsia="宋体" w:cs="Times New Roman"/>
          <w:color w:val="auto"/>
        </w:rPr>
        <w:t>”</w:t>
      </w:r>
      <w:r w:rsidRPr="008C4E50">
        <w:rPr>
          <w:rFonts w:eastAsia="宋体" w:cs="Times New Roman"/>
          <w:color w:val="auto"/>
        </w:rPr>
        <w:t>的经验，将大面积耕地和小块儿破碎田地进行功能划分，大面积可规模化经营耕地种植水稻等作物，小面积耕地则种植脐橙等经济作物，尽可能发挥每一块耕地的作</w:t>
      </w:r>
      <w:r w:rsidRPr="008C4E50">
        <w:rPr>
          <w:rFonts w:eastAsia="宋体" w:cs="Times New Roman"/>
          <w:color w:val="auto"/>
        </w:rPr>
        <w:lastRenderedPageBreak/>
        <w:t>用，又因地制宜增加收入。</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其次，针对土地流转难题，一方面要加强对承包经营制度的宣传，做好补偿工作，深化当地农民对政策的理解，让农民放心；另一方面，在</w:t>
      </w:r>
      <w:r w:rsidRPr="008C4E50">
        <w:rPr>
          <w:rFonts w:eastAsia="宋体" w:cs="Times New Roman"/>
          <w:color w:val="auto"/>
        </w:rPr>
        <w:t>“</w:t>
      </w:r>
      <w:r w:rsidRPr="008C4E50">
        <w:rPr>
          <w:rFonts w:eastAsia="宋体" w:cs="Times New Roman"/>
          <w:color w:val="auto"/>
        </w:rPr>
        <w:t>万樟园林</w:t>
      </w:r>
      <w:r w:rsidRPr="008C4E50">
        <w:rPr>
          <w:rFonts w:eastAsia="宋体" w:cs="Times New Roman"/>
          <w:color w:val="auto"/>
        </w:rPr>
        <w:t>”</w:t>
      </w:r>
      <w:r w:rsidRPr="008C4E50">
        <w:rPr>
          <w:rFonts w:eastAsia="宋体" w:cs="Times New Roman"/>
          <w:color w:val="auto"/>
        </w:rPr>
        <w:t>特色风景区打造过程中，要更加强调景点的特色性，增加景点的知名度，扩大利润空间；同时，可以增加园区建设和发展过程中当地居民的福利感和参与度，为当地居民提供更多工作岗位，或者带动当地住户发展民宿和农家乐等个性化服务，留住外地旅客，刺激消费以拉动经济发展。</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最后，受交通技术条件、市场规模等因素的制约，茶叶加工生产合作社不可避免地面临规模受限的困境。在这种处境下，加工社可以加强特色品牌打造，增强品牌知名度和影响力，扩大市场规模，同时加强与东部地区相关产业的沟通交流，寻找产业链发展契机，借助本身的廉价劳动力和土地优势，一步步发展壮大。</w:t>
      </w:r>
    </w:p>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keepNext/>
        <w:keepLines/>
        <w:widowControl w:val="0"/>
        <w:jc w:val="both"/>
        <w:outlineLvl w:val="1"/>
        <w:rPr>
          <w:rFonts w:eastAsia="宋体" w:cs="Times New Roman"/>
          <w:b/>
          <w:bCs/>
          <w:color w:val="auto"/>
        </w:rPr>
      </w:pPr>
      <w:bookmarkStart w:id="46" w:name="_Toc21676"/>
      <w:bookmarkStart w:id="47" w:name="_Toc7354"/>
      <w:bookmarkStart w:id="48" w:name="_Toc3732"/>
      <w:r w:rsidRPr="008C4E50">
        <w:rPr>
          <w:rFonts w:eastAsia="宋体" w:cs="Times New Roman" w:hint="eastAsia"/>
          <w:b/>
          <w:bCs/>
          <w:color w:val="auto"/>
        </w:rPr>
        <w:t>2.2</w:t>
      </w:r>
      <w:r w:rsidRPr="008C4E50">
        <w:rPr>
          <w:rFonts w:eastAsia="宋体" w:cs="Times New Roman" w:hint="eastAsia"/>
          <w:b/>
          <w:bCs/>
          <w:color w:val="auto"/>
        </w:rPr>
        <w:t>茶陵县农产品加工业发展的对策建议</w:t>
      </w:r>
      <w:bookmarkEnd w:id="46"/>
      <w:bookmarkEnd w:id="47"/>
      <w:bookmarkEnd w:id="48"/>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茶陵县是中国唯一以</w:t>
      </w:r>
      <w:r w:rsidRPr="008C4E50">
        <w:rPr>
          <w:rFonts w:eastAsia="宋体" w:cs="Times New Roman"/>
          <w:color w:val="auto"/>
        </w:rPr>
        <w:t>“</w:t>
      </w:r>
      <w:r w:rsidRPr="008C4E50">
        <w:rPr>
          <w:rFonts w:eastAsia="宋体" w:cs="Times New Roman"/>
          <w:color w:val="auto"/>
        </w:rPr>
        <w:t>茶</w:t>
      </w:r>
      <w:r w:rsidRPr="008C4E50">
        <w:rPr>
          <w:rFonts w:eastAsia="宋体" w:cs="Times New Roman"/>
          <w:color w:val="auto"/>
        </w:rPr>
        <w:t>”</w:t>
      </w:r>
      <w:r w:rsidRPr="008C4E50">
        <w:rPr>
          <w:rFonts w:eastAsia="宋体" w:cs="Times New Roman"/>
          <w:color w:val="auto"/>
        </w:rPr>
        <w:t>命名的行政县，茶叶种植和加工业是当地农业的特色产业，但因茶园种植较为分散，招商引资难度较高，并未形成从种植到加工再到销往外地的完整产业链。为扩大茶叶种植规模，应继续发展茶叶种植合作社，发动农户种植茶叶，将分散的茶园连片种植，从而为更大规模的统一作业创造条件，降低总体成本。与此同时，对于未开垦的荒地，要根据具体地形和水土条件进行适度开垦，不应为了短期的经济利益破坏了地区生态环境</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为打开茶陵茶叶的外销市场，需要与周边地区旅游业进行结合，例如正在建造的罗霄山花湖谷景区，在景区商圈之内可以适当添加茶陵茶叶的元素，促进当地茶叶与景区附近的餐饮行业的合作，将当地茶叶作为餐厅茶饮，增强二者之间相互宣传。此外，新兴媒体和互联网也是有效宣传茶陵特色产品的重要途径；如今，直播行业越来越成为农村地区展销商品的重要平台，并且农户和顾客的直接沟通有利于生产者控制产量，降低运输成本，从而促进收入的提高</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此外，加强宣传也对招商引资有着重要作用。茶陵当前的小规模工业和农业生产，需要外来资本和技术的介入，有效统筹当地的分散资源，促进工业集聚，形成品牌效应和龙头企业，这对于降低交通运输成本，减少环境污染具有积极作用。</w:t>
      </w:r>
    </w:p>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keepNext/>
        <w:keepLines/>
        <w:widowControl w:val="0"/>
        <w:jc w:val="both"/>
        <w:outlineLvl w:val="1"/>
        <w:rPr>
          <w:rFonts w:eastAsia="宋体" w:cs="Times New Roman"/>
          <w:b/>
          <w:bCs/>
          <w:color w:val="auto"/>
        </w:rPr>
      </w:pPr>
      <w:bookmarkStart w:id="49" w:name="_Toc7427"/>
      <w:bookmarkStart w:id="50" w:name="_Toc13670"/>
      <w:bookmarkStart w:id="51" w:name="_Toc25315"/>
      <w:r w:rsidRPr="008C4E50">
        <w:rPr>
          <w:rFonts w:eastAsia="宋体" w:cs="Times New Roman" w:hint="eastAsia"/>
          <w:b/>
          <w:bCs/>
          <w:color w:val="auto"/>
        </w:rPr>
        <w:t>2.3</w:t>
      </w:r>
      <w:r w:rsidRPr="008C4E50">
        <w:rPr>
          <w:rFonts w:eastAsia="宋体" w:cs="Times New Roman" w:hint="eastAsia"/>
          <w:b/>
          <w:bCs/>
          <w:color w:val="auto"/>
        </w:rPr>
        <w:t>茶陵县旅游产业可行发展路径</w:t>
      </w:r>
      <w:bookmarkEnd w:id="49"/>
      <w:bookmarkEnd w:id="50"/>
      <w:bookmarkEnd w:id="51"/>
    </w:p>
    <w:p w:rsidR="008C4E50" w:rsidRPr="008C4E50" w:rsidRDefault="008C4E50" w:rsidP="008C4E50">
      <w:pPr>
        <w:widowControl w:val="0"/>
        <w:ind w:firstLine="480"/>
        <w:jc w:val="both"/>
        <w:rPr>
          <w:rFonts w:eastAsia="宋体" w:cs="Times New Roman"/>
          <w:color w:val="000000"/>
        </w:rPr>
      </w:pPr>
      <w:r w:rsidRPr="008C4E50">
        <w:rPr>
          <w:rFonts w:eastAsia="宋体" w:cs="Times New Roman"/>
          <w:color w:val="000000"/>
        </w:rPr>
        <w:t>首先，茶陵有着深厚的红色底蕴和丰富的红色旅游资源，工农兵政府旧址、严塘镇湾里村等红色旅游景点具有较强的教育意义和社会宣传效应。然而，由于有些红色旅游的产品结构过于单一，不具备吸引力，组合度不高，形式不够新颖。故而红色旅游业所辐射的目标群体较为单一，对当代青少年群体的吸引度不高。因此，一方面可以将现代新型技术融入传统的红色景点，运用蜡像实景还原、现代媒体传播、电子展览宣讲等技术，还原历史名场景，让历史再现，增加红色旅游的附加值，增强游客体验度与满意度。另一方面可以将红色旅游的社会宣传作用与生态旅游的休闲性、娱乐性相融合，打造自然</w:t>
      </w:r>
      <w:r w:rsidRPr="008C4E50">
        <w:rPr>
          <w:rFonts w:eastAsia="宋体" w:cs="Times New Roman" w:hint="eastAsia"/>
          <w:color w:val="000000"/>
        </w:rPr>
        <w:t>－</w:t>
      </w:r>
      <w:r w:rsidRPr="008C4E50">
        <w:rPr>
          <w:rFonts w:eastAsia="宋体" w:cs="Times New Roman"/>
          <w:color w:val="000000"/>
        </w:rPr>
        <w:t>人文相结合的精品旅游线路，让外来游客在身心放松的同时了解革命历史、传承红色基因，以此增强社会影响，形成良性循环，让良好的口碑成为宣传的最佳途径。</w:t>
      </w:r>
    </w:p>
    <w:p w:rsidR="008C4E50" w:rsidRPr="008C4E50" w:rsidRDefault="008C4E50" w:rsidP="008C4E50">
      <w:pPr>
        <w:widowControl w:val="0"/>
        <w:ind w:firstLine="480"/>
        <w:jc w:val="both"/>
        <w:rPr>
          <w:rFonts w:eastAsia="宋体" w:cs="Times New Roman"/>
          <w:color w:val="000000"/>
        </w:rPr>
      </w:pPr>
      <w:r w:rsidRPr="008C4E50">
        <w:rPr>
          <w:rFonts w:eastAsia="宋体" w:cs="Times New Roman"/>
          <w:color w:val="000000"/>
        </w:rPr>
        <w:t>而针对茶陵旅游业，特别是乡村生态旅游方面基础设施建设不充分的问题，除了政府积极投资以旅游接待设施为首的基础设施之外，最重要的是提升当地农民的参与度。在对火天大龙村的参访过程中，一位村民向我们展示了以山猪养殖</w:t>
      </w:r>
      <w:r w:rsidRPr="008C4E50">
        <w:rPr>
          <w:rFonts w:eastAsia="宋体" w:cs="Times New Roman"/>
          <w:color w:val="000000"/>
        </w:rPr>
        <w:lastRenderedPageBreak/>
        <w:t>为主的特色餐饮服务，这就是农民参与旅游建设的最佳体现。只有注重带动农村居民共同增收致富，使他们融入到旅游产业中，成为经营者或雇员。政府与民间要通力合作，致力于打造乡村品牌文化，通过特色品牌产业的打造为大多数村民提供就业的机会，才能让基础设施的建设真正得到基层人民的认可，调动农民参与发展旅游业的积极性，促进旅游业与传统农业、养殖业的融合，使基础设施的建设得到最大化的利用。</w:t>
      </w:r>
    </w:p>
    <w:p w:rsidR="008C4E50" w:rsidRPr="008C4E50" w:rsidRDefault="008C4E50" w:rsidP="008C4E50">
      <w:pPr>
        <w:widowControl w:val="0"/>
        <w:ind w:firstLine="480"/>
        <w:jc w:val="both"/>
        <w:rPr>
          <w:rFonts w:eastAsia="宋体" w:cs="Times New Roman"/>
          <w:color w:val="000000"/>
        </w:rPr>
      </w:pPr>
    </w:p>
    <w:p w:rsidR="008C4E50" w:rsidRPr="008C4E50" w:rsidRDefault="008C4E50" w:rsidP="008C4E50">
      <w:pPr>
        <w:keepNext/>
        <w:keepLines/>
        <w:widowControl w:val="0"/>
        <w:jc w:val="both"/>
        <w:outlineLvl w:val="1"/>
        <w:rPr>
          <w:rFonts w:eastAsia="宋体" w:cs="Times New Roman"/>
          <w:b/>
          <w:bCs/>
          <w:color w:val="auto"/>
        </w:rPr>
      </w:pPr>
      <w:bookmarkStart w:id="52" w:name="_Toc1268"/>
      <w:bookmarkStart w:id="53" w:name="_Toc30191"/>
      <w:bookmarkStart w:id="54" w:name="_Toc30503"/>
      <w:r w:rsidRPr="008C4E50">
        <w:rPr>
          <w:rFonts w:eastAsia="宋体" w:cs="Times New Roman" w:hint="eastAsia"/>
          <w:b/>
          <w:bCs/>
          <w:color w:val="auto"/>
        </w:rPr>
        <w:t>2.4</w:t>
      </w:r>
      <w:r w:rsidRPr="008C4E50">
        <w:rPr>
          <w:rFonts w:eastAsia="宋体" w:cs="Times New Roman" w:hint="eastAsia"/>
          <w:b/>
          <w:bCs/>
          <w:color w:val="auto"/>
        </w:rPr>
        <w:t>产业发展两大困境的解决方案</w:t>
      </w:r>
      <w:bookmarkEnd w:id="52"/>
      <w:bookmarkEnd w:id="53"/>
      <w:bookmarkEnd w:id="54"/>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茶陵本身对产业结构的发展规划并不清晰明确，近年来的招商引资囊括第一、二、三产业，缺少中心，发展驳杂。从推广经济类作物、特色农产品到引进中小型加工企业再到大型旅游项目建设，几乎没有凸显到茶陵本身的特色或者优势。</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发展</w:t>
      </w:r>
      <w:r w:rsidRPr="008C4E50">
        <w:rPr>
          <w:rFonts w:eastAsia="宋体" w:cs="Times New Roman" w:hint="eastAsia"/>
          <w:color w:val="auto"/>
        </w:rPr>
        <w:t>定位的及时</w:t>
      </w:r>
      <w:r w:rsidRPr="008C4E50">
        <w:rPr>
          <w:rFonts w:eastAsia="宋体" w:cs="Times New Roman"/>
          <w:color w:val="auto"/>
        </w:rPr>
        <w:t>转型或为茶陵县发展的关键。从农业来看，茶陵可以将各类特色农产品如农家猪肉、茶叶种植引入各个农村，为农村提供脱贫发展的明确路径。先进行试点，前期主动投入保证种植养殖生产能力体系的成熟和中低端市场占有率，后期根据情况再尝试对其中部分精品产品进行品牌打造。当前茶陵县的农产品并没有突出的品质优势和品牌优势，不宜过早尝试精品路线。从工业来看，茶陵县缺少吸引高新科技产业的地理区位优势、优质劳动力，发展不应完全寄望于高附加值产业的入驻。目前非标门生产等门类独立的传统制造业吸收了大量的劳动力，也适合当地市场需求，生产销售体系较成熟，可继续鼓励其发展且不用投入过多政策资源。当下最有必要由政府牵头提供政策鼓励的工业发展方向应为打造</w:t>
      </w:r>
      <w:r w:rsidRPr="008C4E50">
        <w:rPr>
          <w:rFonts w:eastAsia="宋体" w:cs="Times New Roman" w:hint="eastAsia"/>
          <w:color w:val="auto"/>
        </w:rPr>
        <w:t>面向特定产业的</w:t>
      </w:r>
      <w:r w:rsidRPr="008C4E50">
        <w:rPr>
          <w:rFonts w:eastAsia="宋体" w:cs="Times New Roman"/>
          <w:color w:val="auto"/>
        </w:rPr>
        <w:t>产业链和产业集群。茶陵目前已确立的较为明晰的工业发展方向是电子配件加工制造，也初步形成了一定的规模。下一步，茶陵县可着重考虑在电子产品配件上下游领域集中招商资源，形成茶陵电子配件生产领域协同良性发展的新局面。</w:t>
      </w:r>
    </w:p>
    <w:p w:rsidR="008C4E50" w:rsidRPr="008C4E50" w:rsidRDefault="008C4E50" w:rsidP="008C4E50">
      <w:pPr>
        <w:widowControl w:val="0"/>
        <w:ind w:firstLine="480"/>
        <w:jc w:val="both"/>
        <w:rPr>
          <w:rFonts w:eastAsia="宋体" w:cs="Times New Roman"/>
          <w:color w:val="000000"/>
        </w:rPr>
      </w:pPr>
    </w:p>
    <w:p w:rsidR="008C4E50" w:rsidRPr="008C4E50" w:rsidRDefault="008C4E50" w:rsidP="008C4E50">
      <w:pPr>
        <w:keepNext/>
        <w:keepLines/>
        <w:widowControl w:val="0"/>
        <w:jc w:val="both"/>
        <w:outlineLvl w:val="1"/>
        <w:rPr>
          <w:rFonts w:eastAsia="宋体" w:cs="Times New Roman"/>
          <w:b/>
          <w:bCs/>
          <w:color w:val="auto"/>
        </w:rPr>
      </w:pPr>
      <w:bookmarkStart w:id="55" w:name="_Toc3695"/>
      <w:bookmarkStart w:id="56" w:name="_Toc14449"/>
      <w:bookmarkStart w:id="57" w:name="_Toc19305"/>
      <w:r w:rsidRPr="008C4E50">
        <w:rPr>
          <w:rFonts w:eastAsia="宋体" w:cs="Times New Roman" w:hint="eastAsia"/>
          <w:b/>
          <w:bCs/>
          <w:color w:val="auto"/>
        </w:rPr>
        <w:t>2.5</w:t>
      </w:r>
      <w:r w:rsidRPr="008C4E50">
        <w:rPr>
          <w:rFonts w:eastAsia="宋体" w:cs="Times New Roman"/>
          <w:b/>
          <w:bCs/>
          <w:color w:val="auto"/>
        </w:rPr>
        <w:t>茶陵县第三产业大类问题的解决方案</w:t>
      </w:r>
      <w:bookmarkEnd w:id="55"/>
      <w:bookmarkEnd w:id="56"/>
      <w:bookmarkEnd w:id="57"/>
    </w:p>
    <w:p w:rsidR="008C4E50" w:rsidRPr="008C4E50" w:rsidRDefault="008C4E50" w:rsidP="008C4E50">
      <w:pPr>
        <w:widowControl w:val="0"/>
        <w:ind w:firstLineChars="200" w:firstLine="480"/>
        <w:jc w:val="both"/>
        <w:rPr>
          <w:rFonts w:ascii="Calibri" w:eastAsia="宋体" w:hAnsi="Calibri" w:cs="Times New Roman"/>
          <w:color w:val="auto"/>
        </w:rPr>
      </w:pPr>
      <w:r w:rsidRPr="008C4E50">
        <w:rPr>
          <w:rFonts w:ascii="Calibri" w:eastAsia="宋体" w:hAnsi="Calibri" w:cs="Times New Roman" w:hint="eastAsia"/>
          <w:color w:val="auto"/>
        </w:rPr>
        <w:t>针对茶陵第三产业发展面临的问题，我认为第三产业的发展首先要依赖于基础设施的完善，在茶陵学习期间，我们参观的旅游工业园区大多交通并不十分便利，茶陵想要发展壮大旅游产业，首先需要打好交通运输业基础。</w:t>
      </w:r>
    </w:p>
    <w:p w:rsidR="008C4E50" w:rsidRPr="008C4E50" w:rsidRDefault="008C4E50" w:rsidP="008C4E50">
      <w:pPr>
        <w:widowControl w:val="0"/>
        <w:ind w:firstLine="480"/>
        <w:jc w:val="both"/>
        <w:rPr>
          <w:rFonts w:ascii="Calibri" w:eastAsia="宋体" w:hAnsi="Calibri" w:cs="Times New Roman"/>
          <w:color w:val="auto"/>
        </w:rPr>
      </w:pPr>
      <w:r w:rsidRPr="008C4E50">
        <w:rPr>
          <w:rFonts w:ascii="Calibri" w:eastAsia="宋体" w:hAnsi="Calibri" w:cs="Times New Roman" w:hint="eastAsia"/>
          <w:color w:val="auto"/>
        </w:rPr>
        <w:t>其次，针对疫情对小微企业和个体经营者带来的冲击，建议政府加大对该类经营者的扶持和鼓励，帮助他们恢复生产和服务，同时鼓励茶陵当地人进行创业，发挥对当地物产和风土人情的了解，逐步完善茶陵主体第三产业旅游业的相关餐饮、住宿、文创、宣发产业链，为该产业创造更多附加价值，同时能提供更多就业岗位，吸引更多茶陵人留在家乡，脱贫致富，减少人口外流。</w:t>
      </w:r>
    </w:p>
    <w:p w:rsidR="008C4E50" w:rsidRPr="008C4E50" w:rsidRDefault="008C4E50" w:rsidP="008C4E50">
      <w:pPr>
        <w:widowControl w:val="0"/>
        <w:ind w:firstLine="480"/>
        <w:jc w:val="both"/>
        <w:rPr>
          <w:rFonts w:ascii="Calibri" w:eastAsia="宋体" w:hAnsi="Calibri" w:cs="Times New Roman"/>
          <w:color w:val="auto"/>
        </w:rPr>
      </w:pPr>
      <w:r w:rsidRPr="008C4E50">
        <w:rPr>
          <w:rFonts w:ascii="Calibri" w:eastAsia="宋体" w:hAnsi="Calibri" w:cs="Times New Roman" w:hint="eastAsia"/>
          <w:color w:val="auto"/>
        </w:rPr>
        <w:t>然后，针对旅游业发展，茶陵不仅可以依托丰富的红色革命历史基础，在现有旅游业基础上继续进行景点、文娱活动、文创产品的开发创作，还可以依托优良的自然环境开发度假村、农家乐等休闲度假项目，休闲度假作为我们美好生活的重要组成部分，正在从我们生活中的“调味盐”，变成日常生活的“必需品”。茶陵旅游业要想得到长足发展，就需要抓住旅游业转型的契机，大力推动休闲度假的发展。休闲度假是中国旅游业未来发展的重要方向，发展休闲度假产业有利于丰富茶陵旅游业的类型，有利于增加效益，提高茶陵旅游业的整体竞争力，是实现茶陵旅游业高质量发展的必由之路。</w:t>
      </w:r>
    </w:p>
    <w:p w:rsidR="008C4E50" w:rsidRPr="008C4E50" w:rsidRDefault="008C4E50" w:rsidP="008C4E50">
      <w:pPr>
        <w:keepNext/>
        <w:keepLines/>
        <w:widowControl w:val="0"/>
        <w:jc w:val="both"/>
        <w:outlineLvl w:val="1"/>
        <w:rPr>
          <w:rFonts w:eastAsia="宋体" w:cs="Times New Roman"/>
          <w:b/>
          <w:bCs/>
          <w:color w:val="auto"/>
        </w:rPr>
      </w:pPr>
      <w:bookmarkStart w:id="58" w:name="_Toc8593"/>
      <w:bookmarkStart w:id="59" w:name="_Toc31995"/>
      <w:bookmarkStart w:id="60" w:name="_Toc2530"/>
      <w:r w:rsidRPr="008C4E50">
        <w:rPr>
          <w:rFonts w:eastAsia="宋体" w:cs="Times New Roman" w:hint="eastAsia"/>
          <w:b/>
          <w:bCs/>
          <w:color w:val="auto"/>
        </w:rPr>
        <w:t>2.6</w:t>
      </w:r>
      <w:r w:rsidRPr="008C4E50">
        <w:rPr>
          <w:rFonts w:eastAsia="宋体" w:cs="Times New Roman"/>
          <w:b/>
          <w:bCs/>
          <w:color w:val="auto"/>
        </w:rPr>
        <w:t>针对茶陵县电商扶贫问题的解决方案</w:t>
      </w:r>
      <w:bookmarkEnd w:id="58"/>
      <w:bookmarkEnd w:id="59"/>
      <w:bookmarkEnd w:id="60"/>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首先，针对农业人才引进不足的问题，可参考山东省潍坊市在引进农业人才</w:t>
      </w:r>
      <w:r w:rsidRPr="008C4E50">
        <w:rPr>
          <w:rFonts w:eastAsia="宋体" w:cs="Times New Roman"/>
          <w:color w:val="auto"/>
        </w:rPr>
        <w:lastRenderedPageBreak/>
        <w:t>方面采取的举措。一方面，应提高茶陵县当地对高精尖农业人才的吸引力，政府相关部门可出台关于农业人才引进的系列优惠政策，吸引人才落户。例如：为农业人才提供完善的医疗保障、社会福利，给予农业人才更广阔的发展上升空间，借鉴企业化的管理模式，敢于破格任用有实力的青年农业人才，甚至可以适当提高高精尖农业人才的政治待遇。另一方面，应主动出击，招聘人才。瞄准茶陵县附近的长沙、衡阳等大城市，公开竞聘，与市场并轨。</w:t>
      </w:r>
    </w:p>
    <w:p w:rsidR="008C4E50" w:rsidRPr="008C4E50" w:rsidRDefault="008C4E50" w:rsidP="008C4E50">
      <w:pPr>
        <w:widowControl w:val="0"/>
        <w:ind w:firstLine="480"/>
        <w:jc w:val="both"/>
        <w:rPr>
          <w:rFonts w:eastAsia="宋体" w:cs="Times New Roman"/>
          <w:color w:val="auto"/>
        </w:rPr>
      </w:pPr>
      <w:r w:rsidRPr="008C4E50">
        <w:rPr>
          <w:rFonts w:eastAsia="宋体" w:cs="Times New Roman"/>
          <w:color w:val="auto"/>
        </w:rPr>
        <w:t>其次，针对农产品附加值低的问题，需要各部门共同解决。第一方面，要转变农产品经营主体的观念，除了注重经营本身，还要通过互联网等便捷的资源获取渠道，了解品牌、科技等要素，树立品牌意识。第二方面，提高农产品附加值，需要负责农业生产的部门与负责加工的工业部门甚至负责旅游业的部门协调配合，创新农业管理体制，做好规划和设计。可以运用互联网技术，建立农产品加工管理平台，便于协调管理。第三方面，要推动产业链条由链条延伸向环节聚集。对于单个农户即使再注重产业链整合、延伸，也很难形成规模，因此要鼓励产业链中各环节的聚集发展，实现规模经济。</w:t>
      </w:r>
      <w:r w:rsidRPr="008C4E50">
        <w:rPr>
          <w:rFonts w:eastAsia="宋体" w:cs="Times New Roman"/>
          <w:color w:val="auto"/>
          <w:vertAlign w:val="superscript"/>
        </w:rPr>
        <w:footnoteReference w:id="2"/>
      </w:r>
    </w:p>
    <w:p w:rsidR="008C4E50" w:rsidRPr="008C4E50" w:rsidRDefault="008C4E50" w:rsidP="008C4E50">
      <w:pPr>
        <w:widowControl w:val="0"/>
        <w:ind w:firstLine="480"/>
        <w:jc w:val="both"/>
        <w:rPr>
          <w:rFonts w:eastAsia="宋体" w:cs="Times New Roman"/>
          <w:color w:val="auto"/>
        </w:rPr>
      </w:pPr>
    </w:p>
    <w:p w:rsidR="008C4E50" w:rsidRPr="008C4E50" w:rsidRDefault="008C4E50" w:rsidP="008C4E50">
      <w:pPr>
        <w:widowControl w:val="0"/>
        <w:tabs>
          <w:tab w:val="right" w:leader="dot" w:pos="8306"/>
        </w:tabs>
        <w:jc w:val="both"/>
        <w:outlineLvl w:val="0"/>
        <w:rPr>
          <w:rFonts w:ascii="宋体" w:eastAsia="宋体" w:hAnsi="宋体" w:cs="宋体"/>
          <w:b/>
          <w:color w:val="auto"/>
          <w:sz w:val="32"/>
          <w:szCs w:val="32"/>
        </w:rPr>
      </w:pPr>
      <w:bookmarkStart w:id="61" w:name="_Toc28082"/>
      <w:bookmarkStart w:id="62" w:name="_Toc2135"/>
      <w:bookmarkStart w:id="63" w:name="_Toc1165"/>
      <w:bookmarkStart w:id="64" w:name="_Toc30223"/>
      <w:bookmarkStart w:id="65" w:name="_Toc11704"/>
      <w:bookmarkStart w:id="66" w:name="_Toc24435"/>
      <w:bookmarkStart w:id="67" w:name="_Toc6282"/>
      <w:bookmarkStart w:id="68" w:name="_Toc3756"/>
      <w:bookmarkStart w:id="69" w:name="_Toc30971"/>
      <w:bookmarkStart w:id="70" w:name="_Toc16289"/>
      <w:bookmarkStart w:id="71" w:name="_Toc209"/>
      <w:bookmarkStart w:id="72" w:name="_Toc27520"/>
      <w:bookmarkStart w:id="73" w:name="_Toc21508"/>
      <w:bookmarkStart w:id="74" w:name="_Toc56104675"/>
      <w:r w:rsidRPr="008C4E50">
        <w:rPr>
          <w:rFonts w:ascii="宋体" w:eastAsia="宋体" w:hAnsi="宋体" w:cs="宋体" w:hint="eastAsia"/>
          <w:b/>
          <w:color w:val="auto"/>
          <w:sz w:val="32"/>
          <w:szCs w:val="32"/>
        </w:rPr>
        <w:t>3.总结</w:t>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8C4E50" w:rsidRPr="008C4E50" w:rsidRDefault="008C4E50" w:rsidP="008C4E50">
      <w:pPr>
        <w:widowControl w:val="0"/>
        <w:ind w:firstLine="480"/>
        <w:jc w:val="both"/>
        <w:rPr>
          <w:rFonts w:ascii="Calibri" w:eastAsia="宋体" w:hAnsi="Calibri" w:cs="Times New Roman"/>
          <w:color w:val="auto"/>
        </w:rPr>
      </w:pPr>
      <w:r w:rsidRPr="008C4E50">
        <w:rPr>
          <w:rFonts w:ascii="Calibri" w:eastAsia="宋体" w:hAnsi="Calibri" w:cs="Times New Roman" w:hint="eastAsia"/>
          <w:color w:val="auto"/>
        </w:rPr>
        <w:t>通过参访茶陵县以晶辉电子为代表的高新技术产业企业和以程氏门业为代表的第二产业企业，康成茶园为代表的第一产业，我们调研了一系列数据和相关问题，认为：茶陵县在原本已经初有成果的基础上还需发展支柱性产业，将第一产业和第三产业结合，在发展生态旅游的同时转变主体经营观念，提高产品附加值，延长产业链条；对高新产业需要提供良好的人才培养方案，吸引人才落户，培养青年人才；在旅游业的发展上，应当学习脱贫成效显著的地区的经验，大力开发红色资源，发展旅游业，将现代技术融入传统红色景点，打造自然与人文相结合的精品旅游线路，通过加大宣传力度来打造乡村品牌文化，同时发展旅游业相关产业，第三产业服务业，创造更多的就业机会，使得农民更加有获得感，增加农民的收入，完善当地基础设施建设，打造当地旅游特色，避免与其他旅游地区高度重合缺少自身吸引力。针对第一产业发展，当地应当立足于当地的区域特色，利用优势的地理位置发展特色农产品，加快土地流转，形成合作社，增强农民的获得感，同时利用好新媒体技术以及国家的“产业脱贫”政策，扩大农产品的知名度，除此之外，发展农产品衍生品，延长农产品的生产链，增加产品的附加值，筑造当地的品牌特色产品，形成规模经营。在第二产业的发展上，当地政府应当确定发展方向，统筹各方，形成相互交流的产业链条，上下游协作，同时扩大宣传，提高产品的知名度，形成规模经济。在第三产业上，针对疫情对产业的影响，政府应当注重产业的恢复和发展，适当刺激消费，以旅游业为依托，发展第三产业。总体来说，茶陵县的发展需要各方合力，共同协作，形成有影响力的产业经济。</w:t>
      </w:r>
    </w:p>
    <w:p w:rsidR="008666A7" w:rsidRPr="004A0A26" w:rsidRDefault="008C4E50" w:rsidP="004A0A26">
      <w:pPr>
        <w:widowControl w:val="0"/>
        <w:ind w:firstLine="480"/>
        <w:jc w:val="both"/>
        <w:rPr>
          <w:rFonts w:ascii="Calibri" w:eastAsia="宋体" w:hAnsi="Calibri" w:cs="Times New Roman" w:hint="eastAsia"/>
          <w:color w:val="auto"/>
        </w:rPr>
      </w:pPr>
      <w:r w:rsidRPr="008C4E50">
        <w:rPr>
          <w:rFonts w:ascii="Calibri" w:eastAsia="宋体" w:hAnsi="Calibri" w:cs="Times New Roman" w:hint="eastAsia"/>
          <w:color w:val="auto"/>
        </w:rPr>
        <w:t>最后，感谢学院各位指导老师和学长学姐对我们的支持和关心，感谢经济学院给我们提供的宝贵机会以及茶陵县人民政府对我们思政实践活动的无私帮助！</w:t>
      </w:r>
    </w:p>
    <w:sectPr w:rsidR="008666A7" w:rsidRPr="004A0A2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1DFB" w:rsidRDefault="009B1DFB" w:rsidP="008C4E50">
      <w:r>
        <w:separator/>
      </w:r>
    </w:p>
  </w:endnote>
  <w:endnote w:type="continuationSeparator" w:id="0">
    <w:p w:rsidR="009B1DFB" w:rsidRDefault="009B1DFB" w:rsidP="008C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698966533"/>
      <w:docPartObj>
        <w:docPartGallery w:val="Page Numbers (Bottom of Page)"/>
        <w:docPartUnique/>
      </w:docPartObj>
    </w:sdtPr>
    <w:sdtContent>
      <w:p w:rsidR="00134F98" w:rsidRDefault="00134F98" w:rsidP="00156251">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rsidR="00134F98" w:rsidRDefault="00134F98" w:rsidP="0013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301822884"/>
      <w:docPartObj>
        <w:docPartGallery w:val="Page Numbers (Bottom of Page)"/>
        <w:docPartUnique/>
      </w:docPartObj>
    </w:sdtPr>
    <w:sdtContent>
      <w:p w:rsidR="00134F98" w:rsidRDefault="00134F98" w:rsidP="00156251">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rsidR="00134F98" w:rsidRDefault="00134F98" w:rsidP="00134F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1DFB" w:rsidRDefault="009B1DFB" w:rsidP="008C4E50">
      <w:r>
        <w:separator/>
      </w:r>
    </w:p>
  </w:footnote>
  <w:footnote w:type="continuationSeparator" w:id="0">
    <w:p w:rsidR="009B1DFB" w:rsidRDefault="009B1DFB" w:rsidP="008C4E50">
      <w:r>
        <w:continuationSeparator/>
      </w:r>
    </w:p>
  </w:footnote>
  <w:footnote w:id="1">
    <w:p w:rsidR="008C4E50" w:rsidRDefault="008C4E50" w:rsidP="00A53623">
      <w:pPr>
        <w:pStyle w:val="a3"/>
        <w:ind w:firstLine="360"/>
        <w:jc w:val="both"/>
      </w:pPr>
      <w:r>
        <w:rPr>
          <w:rStyle w:val="a6"/>
        </w:rPr>
        <w:footnoteRef/>
      </w:r>
      <w:r>
        <w:t xml:space="preserve"> </w:t>
      </w:r>
      <w:r>
        <w:rPr>
          <w:rFonts w:hint="eastAsia"/>
        </w:rPr>
        <w:t>茶陵县土地利用总体规划（</w:t>
      </w:r>
      <w:r>
        <w:rPr>
          <w:rFonts w:hint="eastAsia"/>
        </w:rPr>
        <w:t>2006-2020</w:t>
      </w:r>
      <w:r>
        <w:rPr>
          <w:rFonts w:hint="eastAsia"/>
        </w:rPr>
        <w:t>年）（</w:t>
      </w:r>
      <w:r>
        <w:rPr>
          <w:rFonts w:hint="eastAsia"/>
        </w:rPr>
        <w:t>2016</w:t>
      </w:r>
      <w:r>
        <w:rPr>
          <w:rFonts w:hint="eastAsia"/>
        </w:rPr>
        <w:t>年修订版）</w:t>
      </w:r>
    </w:p>
  </w:footnote>
  <w:footnote w:id="2">
    <w:p w:rsidR="008C4E50" w:rsidRPr="004A0A26" w:rsidRDefault="008C4E50" w:rsidP="004A0A26">
      <w:pPr>
        <w:ind w:firstLine="480"/>
        <w:jc w:val="left"/>
        <w:rPr>
          <w:rFonts w:hint="eastAsia"/>
          <w:sz w:val="18"/>
          <w:szCs w:val="18"/>
        </w:rPr>
      </w:pPr>
      <w:r>
        <w:rPr>
          <w:rStyle w:val="a6"/>
        </w:rPr>
        <w:footnoteRef/>
      </w:r>
      <w:r>
        <w:t xml:space="preserve"> </w:t>
      </w:r>
      <w:r>
        <w:rPr>
          <w:sz w:val="18"/>
          <w:szCs w:val="18"/>
        </w:rPr>
        <w:t>张喜才</w:t>
      </w:r>
      <w:r>
        <w:rPr>
          <w:sz w:val="18"/>
          <w:szCs w:val="18"/>
        </w:rPr>
        <w:t>,</w:t>
      </w:r>
      <w:r>
        <w:rPr>
          <w:sz w:val="18"/>
          <w:szCs w:val="18"/>
        </w:rPr>
        <w:t>孔祥智</w:t>
      </w:r>
      <w:r>
        <w:rPr>
          <w:sz w:val="18"/>
          <w:szCs w:val="18"/>
        </w:rPr>
        <w:t>.</w:t>
      </w:r>
      <w:r>
        <w:rPr>
          <w:sz w:val="18"/>
          <w:szCs w:val="18"/>
        </w:rPr>
        <w:t>中国农产品价值链变化、问题及对策研究</w:t>
      </w:r>
      <w:r>
        <w:rPr>
          <w:sz w:val="18"/>
          <w:szCs w:val="18"/>
        </w:rPr>
        <w:t>[J].</w:t>
      </w:r>
      <w:r>
        <w:rPr>
          <w:sz w:val="18"/>
          <w:szCs w:val="18"/>
        </w:rPr>
        <w:t>农村经济</w:t>
      </w:r>
      <w:r>
        <w:rPr>
          <w:sz w:val="18"/>
          <w:szCs w:val="18"/>
        </w:rPr>
        <w:t>,2020(01):8-15.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50"/>
    <w:rsid w:val="00134F98"/>
    <w:rsid w:val="003A78C8"/>
    <w:rsid w:val="004A0A26"/>
    <w:rsid w:val="004C0A43"/>
    <w:rsid w:val="006A4419"/>
    <w:rsid w:val="00792E9A"/>
    <w:rsid w:val="008666A7"/>
    <w:rsid w:val="008C4E50"/>
    <w:rsid w:val="008C5560"/>
    <w:rsid w:val="009B1DFB"/>
    <w:rsid w:val="00A5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FA5"/>
  <w15:chartTrackingRefBased/>
  <w15:docId w15:val="{3AECE129-728A-4BF2-AABC-2FC4C954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rsid w:val="008C4E50"/>
    <w:pPr>
      <w:ind w:left="240"/>
      <w:jc w:val="left"/>
    </w:pPr>
    <w:rPr>
      <w:rFonts w:asciiTheme="minorHAnsi" w:eastAsiaTheme="minorHAnsi"/>
      <w:smallCaps/>
      <w:sz w:val="20"/>
      <w:szCs w:val="20"/>
    </w:rPr>
  </w:style>
  <w:style w:type="paragraph" w:customStyle="1" w:styleId="WPSOffice1">
    <w:name w:val="WPSOffice手动目录 1"/>
    <w:qFormat/>
    <w:rsid w:val="008C4E50"/>
    <w:pPr>
      <w:jc w:val="left"/>
    </w:pPr>
    <w:rPr>
      <w:rFonts w:eastAsia="宋体" w:cs="Times New Roman"/>
      <w:color w:val="auto"/>
      <w:kern w:val="0"/>
      <w:sz w:val="20"/>
      <w:szCs w:val="20"/>
    </w:rPr>
  </w:style>
  <w:style w:type="paragraph" w:styleId="a3">
    <w:name w:val="footnote text"/>
    <w:basedOn w:val="a"/>
    <w:link w:val="a4"/>
    <w:uiPriority w:val="99"/>
    <w:semiHidden/>
    <w:unhideWhenUsed/>
    <w:qFormat/>
    <w:rsid w:val="008C4E50"/>
    <w:pPr>
      <w:widowControl w:val="0"/>
      <w:snapToGrid w:val="0"/>
      <w:jc w:val="left"/>
    </w:pPr>
    <w:rPr>
      <w:rFonts w:ascii="Calibri" w:eastAsia="宋体" w:hAnsi="Calibri"/>
      <w:color w:val="auto"/>
      <w:sz w:val="18"/>
      <w:szCs w:val="18"/>
    </w:rPr>
  </w:style>
  <w:style w:type="character" w:customStyle="1" w:styleId="a4">
    <w:name w:val="脚注文本 字符"/>
    <w:basedOn w:val="a0"/>
    <w:link w:val="a3"/>
    <w:uiPriority w:val="99"/>
    <w:semiHidden/>
    <w:rsid w:val="008C4E50"/>
    <w:rPr>
      <w:rFonts w:ascii="Calibri" w:eastAsia="宋体" w:hAnsi="Calibri"/>
      <w:color w:val="auto"/>
      <w:sz w:val="18"/>
      <w:szCs w:val="18"/>
    </w:rPr>
  </w:style>
  <w:style w:type="table" w:styleId="a5">
    <w:name w:val="Table Grid"/>
    <w:basedOn w:val="a1"/>
    <w:qFormat/>
    <w:rsid w:val="008C4E50"/>
    <w:pPr>
      <w:widowControl w:val="0"/>
      <w:jc w:val="both"/>
    </w:pPr>
    <w:rPr>
      <w:rFonts w:eastAsia="宋体"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otnote reference"/>
    <w:basedOn w:val="a0"/>
    <w:uiPriority w:val="99"/>
    <w:semiHidden/>
    <w:unhideWhenUsed/>
    <w:qFormat/>
    <w:rsid w:val="008C4E50"/>
    <w:rPr>
      <w:vertAlign w:val="superscript"/>
    </w:rPr>
  </w:style>
  <w:style w:type="paragraph" w:styleId="a7">
    <w:name w:val="footer"/>
    <w:basedOn w:val="a"/>
    <w:link w:val="a8"/>
    <w:uiPriority w:val="99"/>
    <w:unhideWhenUsed/>
    <w:rsid w:val="00134F98"/>
    <w:pPr>
      <w:tabs>
        <w:tab w:val="center" w:pos="4153"/>
        <w:tab w:val="right" w:pos="8306"/>
      </w:tabs>
      <w:snapToGrid w:val="0"/>
      <w:jc w:val="left"/>
    </w:pPr>
    <w:rPr>
      <w:sz w:val="18"/>
      <w:szCs w:val="18"/>
    </w:rPr>
  </w:style>
  <w:style w:type="character" w:customStyle="1" w:styleId="a8">
    <w:name w:val="页脚 字符"/>
    <w:basedOn w:val="a0"/>
    <w:link w:val="a7"/>
    <w:uiPriority w:val="99"/>
    <w:rsid w:val="00134F98"/>
    <w:rPr>
      <w:sz w:val="18"/>
      <w:szCs w:val="18"/>
    </w:rPr>
  </w:style>
  <w:style w:type="character" w:styleId="a9">
    <w:name w:val="page number"/>
    <w:basedOn w:val="a0"/>
    <w:uiPriority w:val="99"/>
    <w:semiHidden/>
    <w:unhideWhenUsed/>
    <w:rsid w:val="00134F98"/>
  </w:style>
  <w:style w:type="paragraph" w:styleId="TOC1">
    <w:name w:val="toc 1"/>
    <w:basedOn w:val="a"/>
    <w:next w:val="a"/>
    <w:autoRedefine/>
    <w:uiPriority w:val="39"/>
    <w:unhideWhenUsed/>
    <w:rsid w:val="00792E9A"/>
    <w:pPr>
      <w:spacing w:before="120" w:after="120"/>
      <w:jc w:val="left"/>
    </w:pPr>
    <w:rPr>
      <w:rFonts w:asciiTheme="minorHAnsi" w:eastAsiaTheme="minorHAnsi"/>
      <w:b/>
      <w:bCs/>
      <w:caps/>
      <w:sz w:val="20"/>
      <w:szCs w:val="20"/>
    </w:rPr>
  </w:style>
  <w:style w:type="paragraph" w:styleId="TOC3">
    <w:name w:val="toc 3"/>
    <w:basedOn w:val="a"/>
    <w:next w:val="a"/>
    <w:autoRedefine/>
    <w:uiPriority w:val="39"/>
    <w:unhideWhenUsed/>
    <w:rsid w:val="00792E9A"/>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792E9A"/>
    <w:pPr>
      <w:ind w:left="720"/>
      <w:jc w:val="left"/>
    </w:pPr>
    <w:rPr>
      <w:rFonts w:asciiTheme="minorHAnsi" w:eastAsiaTheme="minorHAnsi"/>
      <w:sz w:val="18"/>
      <w:szCs w:val="18"/>
    </w:rPr>
  </w:style>
  <w:style w:type="paragraph" w:styleId="TOC5">
    <w:name w:val="toc 5"/>
    <w:basedOn w:val="a"/>
    <w:next w:val="a"/>
    <w:autoRedefine/>
    <w:uiPriority w:val="39"/>
    <w:unhideWhenUsed/>
    <w:rsid w:val="00792E9A"/>
    <w:pPr>
      <w:ind w:left="960"/>
      <w:jc w:val="left"/>
    </w:pPr>
    <w:rPr>
      <w:rFonts w:asciiTheme="minorHAnsi" w:eastAsiaTheme="minorHAnsi"/>
      <w:sz w:val="18"/>
      <w:szCs w:val="18"/>
    </w:rPr>
  </w:style>
  <w:style w:type="paragraph" w:styleId="TOC6">
    <w:name w:val="toc 6"/>
    <w:basedOn w:val="a"/>
    <w:next w:val="a"/>
    <w:autoRedefine/>
    <w:uiPriority w:val="39"/>
    <w:unhideWhenUsed/>
    <w:rsid w:val="00792E9A"/>
    <w:pPr>
      <w:ind w:left="1200"/>
      <w:jc w:val="left"/>
    </w:pPr>
    <w:rPr>
      <w:rFonts w:asciiTheme="minorHAnsi" w:eastAsiaTheme="minorHAnsi"/>
      <w:sz w:val="18"/>
      <w:szCs w:val="18"/>
    </w:rPr>
  </w:style>
  <w:style w:type="paragraph" w:styleId="TOC7">
    <w:name w:val="toc 7"/>
    <w:basedOn w:val="a"/>
    <w:next w:val="a"/>
    <w:autoRedefine/>
    <w:uiPriority w:val="39"/>
    <w:unhideWhenUsed/>
    <w:rsid w:val="00792E9A"/>
    <w:pPr>
      <w:ind w:left="1440"/>
      <w:jc w:val="left"/>
    </w:pPr>
    <w:rPr>
      <w:rFonts w:asciiTheme="minorHAnsi" w:eastAsiaTheme="minorHAnsi"/>
      <w:sz w:val="18"/>
      <w:szCs w:val="18"/>
    </w:rPr>
  </w:style>
  <w:style w:type="paragraph" w:styleId="TOC8">
    <w:name w:val="toc 8"/>
    <w:basedOn w:val="a"/>
    <w:next w:val="a"/>
    <w:autoRedefine/>
    <w:uiPriority w:val="39"/>
    <w:unhideWhenUsed/>
    <w:rsid w:val="00792E9A"/>
    <w:pPr>
      <w:ind w:left="1680"/>
      <w:jc w:val="left"/>
    </w:pPr>
    <w:rPr>
      <w:rFonts w:asciiTheme="minorHAnsi" w:eastAsiaTheme="minorHAnsi"/>
      <w:sz w:val="18"/>
      <w:szCs w:val="18"/>
    </w:rPr>
  </w:style>
  <w:style w:type="paragraph" w:styleId="TOC9">
    <w:name w:val="toc 9"/>
    <w:basedOn w:val="a"/>
    <w:next w:val="a"/>
    <w:autoRedefine/>
    <w:uiPriority w:val="39"/>
    <w:unhideWhenUsed/>
    <w:rsid w:val="00792E9A"/>
    <w:pPr>
      <w:ind w:left="1920"/>
      <w:jc w:val="left"/>
    </w:pPr>
    <w:rPr>
      <w:rFonts w:asciiTheme="minorHAnsi" w:eastAsiaTheme="minorHAnsi"/>
      <w:sz w:val="18"/>
      <w:szCs w:val="18"/>
    </w:rPr>
  </w:style>
  <w:style w:type="character" w:styleId="aa">
    <w:name w:val="Hyperlink"/>
    <w:basedOn w:val="a0"/>
    <w:uiPriority w:val="99"/>
    <w:unhideWhenUsed/>
    <w:rsid w:val="00792E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7243-132B-C34A-94FF-8F0B256E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8</cp:revision>
  <dcterms:created xsi:type="dcterms:W3CDTF">2020-11-09T00:54:00Z</dcterms:created>
  <dcterms:modified xsi:type="dcterms:W3CDTF">2020-11-12T12:18:00Z</dcterms:modified>
</cp:coreProperties>
</file>